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FF703" w14:textId="77777777" w:rsidR="00656B50" w:rsidRPr="004B3A51" w:rsidRDefault="00656B50" w:rsidP="00656B50">
      <w:pPr>
        <w:spacing w:line="320" w:lineRule="exact"/>
        <w:jc w:val="center"/>
        <w:rPr>
          <w:b/>
          <w:szCs w:val="26"/>
          <w:shd w:val="clear" w:color="auto" w:fill="FFFFFF"/>
          <w:lang w:val="sv-SE"/>
        </w:rPr>
      </w:pPr>
      <w:r w:rsidRPr="004B3A51">
        <w:rPr>
          <w:b/>
          <w:szCs w:val="26"/>
          <w:shd w:val="clear" w:color="auto" w:fill="FFFFFF"/>
          <w:lang w:val="sv-SE"/>
        </w:rPr>
        <w:t>PHỤ LỤC III</w:t>
      </w:r>
    </w:p>
    <w:p w14:paraId="4A440096" w14:textId="77777777" w:rsidR="00656B50" w:rsidRPr="004B3A51" w:rsidRDefault="00656B50" w:rsidP="00656B50">
      <w:pPr>
        <w:widowControl w:val="0"/>
        <w:spacing w:line="360" w:lineRule="exact"/>
        <w:jc w:val="center"/>
        <w:rPr>
          <w:rFonts w:eastAsia="Arial"/>
          <w:b/>
          <w:bCs/>
          <w:kern w:val="2"/>
          <w:szCs w:val="26"/>
          <w:lang w:val="sv-SE"/>
        </w:rPr>
      </w:pPr>
      <w:r w:rsidRPr="004B3A51">
        <w:rPr>
          <w:rFonts w:eastAsia="Arial"/>
          <w:b/>
          <w:bCs/>
          <w:kern w:val="2"/>
          <w:szCs w:val="26"/>
          <w:lang w:val="sv-SE"/>
        </w:rPr>
        <w:t>HƯỚNG DẪN QUY ĐỔI TƯƠNG ĐƯƠNG ĐIỂM TRÚNG TUYỂN VÀ NGƯỠNG ĐẦU VÀO GIỮA CÁC PHƯƠNG THỨC, TỔ HỢP XÉT TUYỂN</w:t>
      </w:r>
    </w:p>
    <w:p w14:paraId="2DD753CF" w14:textId="77777777" w:rsidR="00656B50" w:rsidRPr="00A3610C" w:rsidRDefault="00656B50" w:rsidP="00656B50">
      <w:pPr>
        <w:spacing w:line="240" w:lineRule="auto"/>
        <w:jc w:val="center"/>
        <w:outlineLvl w:val="0"/>
        <w:rPr>
          <w:spacing w:val="-10"/>
          <w:szCs w:val="26"/>
          <w:lang w:val="sv-SE"/>
        </w:rPr>
      </w:pPr>
      <w:r w:rsidRPr="00A3610C">
        <w:rPr>
          <w:spacing w:val="-10"/>
          <w:szCs w:val="26"/>
          <w:lang w:val="sv-SE"/>
        </w:rPr>
        <w:t>(</w:t>
      </w:r>
      <w:r w:rsidRPr="00A3610C">
        <w:rPr>
          <w:i/>
          <w:spacing w:val="-10"/>
          <w:szCs w:val="26"/>
          <w:lang w:val="sv-SE"/>
        </w:rPr>
        <w:t>Kèm theo Công văn số:         /BGDĐT-GDĐH ngày     /05/2025 của Bộ Giáo dục và Đào tạo</w:t>
      </w:r>
      <w:r w:rsidRPr="00A3610C">
        <w:rPr>
          <w:spacing w:val="-10"/>
          <w:szCs w:val="26"/>
          <w:lang w:val="sv-SE"/>
        </w:rPr>
        <w:t>)</w:t>
      </w:r>
    </w:p>
    <w:p w14:paraId="38B6F375" w14:textId="77777777" w:rsidR="00656B50" w:rsidRPr="004B3A51" w:rsidRDefault="00656B50" w:rsidP="00656B50">
      <w:pPr>
        <w:widowControl w:val="0"/>
        <w:spacing w:line="360" w:lineRule="exact"/>
        <w:jc w:val="center"/>
        <w:rPr>
          <w:rFonts w:eastAsia="Arial"/>
          <w:b/>
          <w:bCs/>
          <w:kern w:val="2"/>
          <w:szCs w:val="26"/>
          <w:lang w:val="sv-SE"/>
        </w:rPr>
      </w:pPr>
    </w:p>
    <w:p w14:paraId="5DA69F60" w14:textId="77777777" w:rsidR="00656B50" w:rsidRPr="00A3610C" w:rsidRDefault="00656B50" w:rsidP="00656B50">
      <w:pPr>
        <w:pStyle w:val="ThnVnban"/>
        <w:widowControl w:val="0"/>
        <w:rPr>
          <w:lang w:val="sv-SE"/>
        </w:rPr>
      </w:pPr>
      <w:r w:rsidRPr="00A3610C">
        <w:rPr>
          <w:lang w:val="sv-SE"/>
        </w:rPr>
        <w:t>Bộ Giáo dục và Đào tạo (GDĐT) hướng dẫn xây dựng quy tắc quy đổi tương đương điểm trúng tuyển, ngưỡng đầu vào giữa các phương thức xét tuyển (PTXT), tổ hợp xét tuyển (THXT) khi cơ sở đào tạo (CSĐT) sử dụng đồng thời nhiều PTXT, THXT cho một ngành/nhóm ngành đào tạo như sau:</w:t>
      </w:r>
    </w:p>
    <w:p w14:paraId="5C3D17D7" w14:textId="77777777" w:rsidR="00656B50" w:rsidRPr="00A3610C" w:rsidRDefault="00656B50" w:rsidP="00656B50">
      <w:pPr>
        <w:pStyle w:val="ThnVnban"/>
        <w:widowControl w:val="0"/>
        <w:spacing w:before="120"/>
        <w:rPr>
          <w:b/>
          <w:bCs/>
          <w:lang w:val="sv-SE"/>
        </w:rPr>
      </w:pPr>
      <w:r w:rsidRPr="00A3610C">
        <w:rPr>
          <w:b/>
          <w:bCs/>
          <w:lang w:val="sv-SE"/>
        </w:rPr>
        <w:t>I. NGUYÊN TẮC XÂY DỰNG QUY TẮC QUY ĐỔI</w:t>
      </w:r>
    </w:p>
    <w:p w14:paraId="2EC87783" w14:textId="77777777" w:rsidR="00656B50" w:rsidRPr="004B3A51" w:rsidRDefault="00656B50" w:rsidP="00656B50">
      <w:pPr>
        <w:pStyle w:val="ThnVnban"/>
        <w:widowControl w:val="0"/>
        <w:rPr>
          <w:spacing w:val="-6"/>
          <w:lang w:val="sv-SE"/>
        </w:rPr>
      </w:pPr>
      <w:r w:rsidRPr="004B3A51">
        <w:rPr>
          <w:spacing w:val="-6"/>
          <w:lang w:val="sv-SE"/>
        </w:rPr>
        <w:t>Các CSĐT khi xây dựng quy tắc quy đổi tương đương cần tuân thủ các nguyên tắc sau:</w:t>
      </w:r>
    </w:p>
    <w:p w14:paraId="5B9D9F59" w14:textId="77777777" w:rsidR="00656B50" w:rsidRPr="00A3610C" w:rsidRDefault="00656B50" w:rsidP="00656B50">
      <w:pPr>
        <w:pStyle w:val="ThnVnban"/>
        <w:widowControl w:val="0"/>
        <w:rPr>
          <w:lang w:val="sv-SE"/>
        </w:rPr>
      </w:pPr>
      <w:r w:rsidRPr="00A3610C">
        <w:rPr>
          <w:i/>
          <w:lang w:val="sv-SE"/>
        </w:rPr>
        <w:t>1. Bảo đảm tính tương đương (điểm c Khoản 1, Điều 1, Thông tư 06): Q</w:t>
      </w:r>
      <w:r w:rsidRPr="00A3610C">
        <w:rPr>
          <w:lang w:val="sv-SE"/>
        </w:rPr>
        <w:t>uy tắc quy đổi phải bảo đảm điểm trúng tuyển giữa các phương thức xét tuyển, tổ hợp xét tuyển của một mã xét tuyển tương đương về mức độ đáp ứng yêu cầu đầu vào của chương trình, ngành, nhóm ngành đào tạo tương ứng.</w:t>
      </w:r>
    </w:p>
    <w:p w14:paraId="48F71377" w14:textId="77777777" w:rsidR="00656B50" w:rsidRPr="00A3610C" w:rsidRDefault="00656B50" w:rsidP="00656B50">
      <w:pPr>
        <w:pStyle w:val="ThnVnban"/>
        <w:widowControl w:val="0"/>
        <w:rPr>
          <w:lang w:val="sv-SE"/>
        </w:rPr>
      </w:pPr>
      <w:r w:rsidRPr="00A3610C">
        <w:rPr>
          <w:i/>
          <w:lang w:val="sv-SE"/>
        </w:rPr>
        <w:t xml:space="preserve">2. Dựa trên yêu cầu đầu vào thực chất: </w:t>
      </w:r>
      <w:r w:rsidRPr="00A3610C">
        <w:rPr>
          <w:lang w:val="sv-SE"/>
        </w:rPr>
        <w:t xml:space="preserve">Quy tắc quy đổi tương đương phải gắn với yêu cầu cụ thể của ngành/chương trình đào tạo. Các tiêu chí chính dùng để xét tuyển trong mỗi PTXT phải tập trung đánh giá kiến thức nền tảng và năng lực cốt lõi mà ngành học yêu cầu. </w:t>
      </w:r>
    </w:p>
    <w:p w14:paraId="49B298EB" w14:textId="77777777" w:rsidR="00656B50" w:rsidRPr="00A3610C" w:rsidRDefault="00656B50" w:rsidP="00656B50">
      <w:pPr>
        <w:pStyle w:val="ThnVnban"/>
        <w:widowControl w:val="0"/>
        <w:rPr>
          <w:lang w:val="sv-SE"/>
        </w:rPr>
      </w:pPr>
      <w:r w:rsidRPr="00A3610C">
        <w:rPr>
          <w:i/>
          <w:lang w:val="sv-SE"/>
        </w:rPr>
        <w:t>3. Công bằng, minh bạch, công khai, và thống nhất: Q</w:t>
      </w:r>
      <w:r w:rsidRPr="00A3610C">
        <w:rPr>
          <w:lang w:val="sv-SE"/>
        </w:rPr>
        <w:t xml:space="preserve">uy tắc quy đổi tương đương phải được xây dựng một cách khách quan; được công bố </w:t>
      </w:r>
      <w:r w:rsidRPr="00A3610C">
        <w:rPr>
          <w:lang w:val="vi-VN"/>
        </w:rPr>
        <w:t>trong</w:t>
      </w:r>
      <w:r w:rsidRPr="00A3610C">
        <w:rPr>
          <w:lang w:val="sv-SE"/>
        </w:rPr>
        <w:t xml:space="preserve"> thông tin tuyển sinh và </w:t>
      </w:r>
      <w:r w:rsidRPr="00A3610C">
        <w:rPr>
          <w:lang w:val="vi-VN"/>
        </w:rPr>
        <w:t xml:space="preserve">đăng </w:t>
      </w:r>
      <w:r w:rsidRPr="00A3610C">
        <w:rPr>
          <w:lang w:val="sv-SE"/>
        </w:rPr>
        <w:t xml:space="preserve">công khai </w:t>
      </w:r>
      <w:r w:rsidRPr="00A3610C">
        <w:rPr>
          <w:lang w:val="vi-VN"/>
        </w:rPr>
        <w:t xml:space="preserve">trên </w:t>
      </w:r>
      <w:r w:rsidRPr="00A3610C">
        <w:rPr>
          <w:lang w:val="sv-SE"/>
        </w:rPr>
        <w:t>cổng thông tin điện tử của CSĐT theo quy định, áp dụng thống nhất cho tất cả thí sinh dự tuyển vào cùng một ngành/chương trình đào tạo; bảo đảm tất cả thí sinh được xét chọn bình đẳng dựa trên điểm trúng tuyển tương đương, không phụ thuộc vào thứ tự ưu tiên của nguyện vọng đăng ký.</w:t>
      </w:r>
    </w:p>
    <w:p w14:paraId="63A13D4B" w14:textId="77777777" w:rsidR="00656B50" w:rsidRPr="00A3610C" w:rsidRDefault="00656B50" w:rsidP="00656B50">
      <w:pPr>
        <w:pStyle w:val="ThnVnban"/>
        <w:widowControl w:val="0"/>
        <w:rPr>
          <w:lang w:val="sv-SE"/>
        </w:rPr>
      </w:pPr>
      <w:r w:rsidRPr="00A3610C">
        <w:rPr>
          <w:i/>
          <w:lang w:val="sv-SE"/>
        </w:rPr>
        <w:t xml:space="preserve">4. Bảo đảm tính khoa học và thực tiễn: </w:t>
      </w:r>
      <w:r w:rsidRPr="00A3610C">
        <w:rPr>
          <w:lang w:val="sv-SE"/>
        </w:rPr>
        <w:t xml:space="preserve">Quy tắc quy đổi phải được xây dựng dựa trên căn cứ khoa học và thực tiễn; CSĐT có trách nhiệm giải trình với các bên liên quan về các căn cứ này. </w:t>
      </w:r>
      <w:r w:rsidRPr="00A3610C">
        <w:rPr>
          <w:lang w:val="sv-SE"/>
        </w:rPr>
        <w:tab/>
      </w:r>
    </w:p>
    <w:p w14:paraId="3BB962DA" w14:textId="77777777" w:rsidR="00656B50" w:rsidRPr="00A3610C" w:rsidRDefault="00656B50" w:rsidP="00656B50">
      <w:pPr>
        <w:pStyle w:val="ThnVnban"/>
        <w:widowControl w:val="0"/>
        <w:rPr>
          <w:lang w:val="sv-SE"/>
        </w:rPr>
      </w:pPr>
      <w:r w:rsidRPr="00A3610C">
        <w:rPr>
          <w:i/>
          <w:lang w:val="sv-SE"/>
        </w:rPr>
        <w:t xml:space="preserve">5. Đơn giản, dễ hiểu: </w:t>
      </w:r>
      <w:r w:rsidRPr="00A3610C">
        <w:rPr>
          <w:lang w:val="sv-SE"/>
        </w:rPr>
        <w:t>Quy tắc quy đổi tương đương cần được thiết kế rõ ràng, dễ hiểu để thí sinh và xã hội có thể nắm bắt và giám sát, tránh các công thức phức tạp hoặc không rõ cách tính dẫn đến hiểu nhầm.</w:t>
      </w:r>
    </w:p>
    <w:p w14:paraId="521221A8" w14:textId="77777777" w:rsidR="00656B50" w:rsidRPr="00A3610C" w:rsidRDefault="00656B50" w:rsidP="00656B50">
      <w:pPr>
        <w:pStyle w:val="ThnVnban"/>
        <w:widowControl w:val="0"/>
        <w:spacing w:before="120"/>
        <w:rPr>
          <w:b/>
          <w:bCs/>
          <w:lang w:val="sv-SE"/>
        </w:rPr>
      </w:pPr>
      <w:r w:rsidRPr="00A3610C">
        <w:rPr>
          <w:b/>
          <w:bCs/>
          <w:lang w:val="sv-SE"/>
        </w:rPr>
        <w:t>II. KHUNG QUY ĐỔI TƯƠNG ĐƯƠNG</w:t>
      </w:r>
    </w:p>
    <w:p w14:paraId="1CA2096B" w14:textId="77777777" w:rsidR="00656B50" w:rsidRPr="00A3610C" w:rsidRDefault="00656B50" w:rsidP="00656B50">
      <w:pPr>
        <w:pStyle w:val="ThnVnban"/>
        <w:widowControl w:val="0"/>
        <w:rPr>
          <w:b/>
          <w:bCs/>
          <w:lang w:val="sv-SE"/>
        </w:rPr>
      </w:pPr>
      <w:r w:rsidRPr="00A3610C">
        <w:rPr>
          <w:b/>
          <w:bCs/>
          <w:lang w:val="sv-SE"/>
        </w:rPr>
        <w:t xml:space="preserve">1. Khung quy đổi giữa các loại điểm thi </w:t>
      </w:r>
    </w:p>
    <w:p w14:paraId="0F500A1E" w14:textId="77777777" w:rsidR="00656B50" w:rsidRPr="00A3610C" w:rsidRDefault="00656B50" w:rsidP="00656B50">
      <w:pPr>
        <w:pStyle w:val="ThnVnban"/>
        <w:widowControl w:val="0"/>
        <w:rPr>
          <w:lang w:val="sv-SE"/>
        </w:rPr>
      </w:pPr>
      <w:r w:rsidRPr="00A3610C">
        <w:rPr>
          <w:lang w:val="sv-SE"/>
        </w:rPr>
        <w:t xml:space="preserve">Khung quy đổi đưa ra các khoảng điểm của các </w:t>
      </w:r>
      <w:r w:rsidRPr="00A3610C">
        <w:rPr>
          <w:i/>
          <w:iCs/>
          <w:lang w:val="sv-SE"/>
        </w:rPr>
        <w:t xml:space="preserve">bài thi riêng </w:t>
      </w:r>
      <w:r w:rsidRPr="00A3610C">
        <w:rPr>
          <w:lang w:val="sv-SE"/>
        </w:rPr>
        <w:t xml:space="preserve">(APT, HSA, TSA..) và khoảng điểm các </w:t>
      </w:r>
      <w:r w:rsidRPr="00A3610C">
        <w:rPr>
          <w:i/>
          <w:iCs/>
          <w:lang w:val="sv-SE"/>
        </w:rPr>
        <w:t>tổ hợp môn thi tốt nghiệp THPT phù hợp</w:t>
      </w:r>
      <w:r w:rsidRPr="00A3610C">
        <w:rPr>
          <w:lang w:val="sv-SE"/>
        </w:rPr>
        <w:t xml:space="preserve"> theo phương pháp bách phân vị</w:t>
      </w:r>
      <w:r w:rsidRPr="00A3610C">
        <w:rPr>
          <w:rStyle w:val="ThamchiuCcchu"/>
          <w:rFonts w:eastAsia="Arial"/>
          <w:kern w:val="2"/>
          <w:szCs w:val="26"/>
        </w:rPr>
        <w:footnoteReference w:id="1"/>
      </w:r>
      <w:r w:rsidRPr="00A3610C">
        <w:rPr>
          <w:lang w:val="sv-SE"/>
        </w:rPr>
        <w:t xml:space="preserve"> trên cơ sở phân tích kết quả thi của </w:t>
      </w:r>
      <w:r w:rsidRPr="00A3610C">
        <w:rPr>
          <w:b/>
          <w:bCs/>
          <w:i/>
          <w:iCs/>
          <w:lang w:val="sv-SE"/>
        </w:rPr>
        <w:t xml:space="preserve">những thí sinh có cả điểm bài thi riêng và điểm tổ </w:t>
      </w:r>
      <w:r w:rsidRPr="00A3610C">
        <w:rPr>
          <w:b/>
          <w:bCs/>
          <w:i/>
          <w:iCs/>
          <w:lang w:val="sv-SE"/>
        </w:rPr>
        <w:lastRenderedPageBreak/>
        <w:t xml:space="preserve">hợp môn thi tốt nghiệp tương ứng </w:t>
      </w:r>
      <w:r w:rsidRPr="00A3610C">
        <w:rPr>
          <w:lang w:val="sv-SE"/>
        </w:rPr>
        <w:t xml:space="preserve">của năm 2025. Các khoảng điểm được xếp tương ứng với tốp 0,5%, 1%, 3%, 5%, 10%... như trong (Bảng 1). </w:t>
      </w:r>
    </w:p>
    <w:p w14:paraId="0CA0D5E0" w14:textId="77777777" w:rsidR="00656B50" w:rsidRPr="00A3610C" w:rsidRDefault="00656B50" w:rsidP="00656B50">
      <w:pPr>
        <w:pStyle w:val="ThnVnban"/>
        <w:widowControl w:val="0"/>
        <w:ind w:firstLine="0"/>
        <w:rPr>
          <w:b/>
          <w:bCs/>
          <w:lang w:val="sv-SE"/>
        </w:rPr>
      </w:pPr>
      <w:r w:rsidRPr="00A3610C">
        <w:rPr>
          <w:b/>
          <w:bCs/>
          <w:lang w:val="sv-SE"/>
        </w:rPr>
        <w:t>Bảng 1. Khung quy đổi điểm trúng tuyển theo các bài thi riêng về điểm trúng tuyển theo điểm thi tốt nghiệp THPT</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82"/>
        <w:gridCol w:w="1709"/>
        <w:gridCol w:w="1505"/>
        <w:gridCol w:w="1632"/>
        <w:gridCol w:w="1507"/>
        <w:gridCol w:w="1353"/>
        <w:gridCol w:w="7"/>
      </w:tblGrid>
      <w:tr w:rsidR="00656B50" w:rsidRPr="00A3610C" w14:paraId="65A52473" w14:textId="77777777" w:rsidTr="007C7047">
        <w:trPr>
          <w:gridAfter w:val="1"/>
          <w:wAfter w:w="7" w:type="dxa"/>
          <w:trHeight w:val="230"/>
          <w:jc w:val="center"/>
        </w:trPr>
        <w:tc>
          <w:tcPr>
            <w:tcW w:w="1482" w:type="dxa"/>
            <w:vMerge w:val="restart"/>
            <w:shd w:val="clear" w:color="auto" w:fill="auto"/>
            <w:vAlign w:val="center"/>
          </w:tcPr>
          <w:p w14:paraId="1139B5F7" w14:textId="77777777" w:rsidR="00656B50" w:rsidRPr="00A3610C" w:rsidRDefault="00656B50" w:rsidP="007C7047">
            <w:pPr>
              <w:widowControl w:val="0"/>
              <w:spacing w:line="360" w:lineRule="exact"/>
              <w:jc w:val="center"/>
              <w:rPr>
                <w:sz w:val="24"/>
                <w:szCs w:val="24"/>
              </w:rPr>
            </w:pPr>
            <w:r w:rsidRPr="00A3610C">
              <w:rPr>
                <w:sz w:val="24"/>
                <w:szCs w:val="24"/>
              </w:rPr>
              <w:t>TỐP</w:t>
            </w:r>
          </w:p>
        </w:tc>
        <w:tc>
          <w:tcPr>
            <w:tcW w:w="1709" w:type="dxa"/>
            <w:vMerge w:val="restart"/>
            <w:vAlign w:val="center"/>
          </w:tcPr>
          <w:p w14:paraId="6E06720F" w14:textId="77777777" w:rsidR="00656B50" w:rsidRPr="00A3610C" w:rsidRDefault="00656B50" w:rsidP="007C7047">
            <w:pPr>
              <w:widowControl w:val="0"/>
              <w:spacing w:line="360" w:lineRule="exact"/>
              <w:ind w:right="47"/>
              <w:jc w:val="center"/>
              <w:rPr>
                <w:sz w:val="24"/>
                <w:szCs w:val="24"/>
              </w:rPr>
            </w:pPr>
            <w:r w:rsidRPr="00A3610C">
              <w:rPr>
                <w:sz w:val="24"/>
                <w:szCs w:val="24"/>
              </w:rPr>
              <w:t>Điểm bài thi X (APT, HSA…)</w:t>
            </w:r>
          </w:p>
        </w:tc>
        <w:tc>
          <w:tcPr>
            <w:tcW w:w="5997" w:type="dxa"/>
            <w:gridSpan w:val="4"/>
            <w:shd w:val="clear" w:color="auto" w:fill="auto"/>
            <w:vAlign w:val="center"/>
          </w:tcPr>
          <w:p w14:paraId="0852A589" w14:textId="77777777" w:rsidR="00656B50" w:rsidRPr="00A3610C" w:rsidRDefault="00656B50" w:rsidP="007C7047">
            <w:pPr>
              <w:widowControl w:val="0"/>
              <w:spacing w:line="360" w:lineRule="exact"/>
              <w:jc w:val="center"/>
              <w:rPr>
                <w:sz w:val="24"/>
                <w:szCs w:val="24"/>
              </w:rPr>
            </w:pPr>
            <w:r w:rsidRPr="00A3610C">
              <w:rPr>
                <w:sz w:val="24"/>
                <w:szCs w:val="24"/>
              </w:rPr>
              <w:t>Điểm các tổ hợp môn thi tốt nghiệp THPT phù hợp</w:t>
            </w:r>
          </w:p>
        </w:tc>
      </w:tr>
      <w:tr w:rsidR="00656B50" w:rsidRPr="00A3610C" w14:paraId="4F8F4968" w14:textId="77777777" w:rsidTr="007C7047">
        <w:trPr>
          <w:gridAfter w:val="1"/>
          <w:wAfter w:w="7" w:type="dxa"/>
          <w:trHeight w:val="230"/>
          <w:jc w:val="center"/>
        </w:trPr>
        <w:tc>
          <w:tcPr>
            <w:tcW w:w="1482" w:type="dxa"/>
            <w:vMerge/>
            <w:shd w:val="clear" w:color="auto" w:fill="auto"/>
            <w:vAlign w:val="center"/>
          </w:tcPr>
          <w:p w14:paraId="0B744C03" w14:textId="77777777" w:rsidR="00656B50" w:rsidRPr="00A3610C" w:rsidRDefault="00656B50" w:rsidP="007C7047">
            <w:pPr>
              <w:widowControl w:val="0"/>
              <w:spacing w:line="360" w:lineRule="exact"/>
              <w:jc w:val="center"/>
              <w:rPr>
                <w:sz w:val="24"/>
                <w:szCs w:val="24"/>
              </w:rPr>
            </w:pPr>
          </w:p>
        </w:tc>
        <w:tc>
          <w:tcPr>
            <w:tcW w:w="1709" w:type="dxa"/>
            <w:vMerge/>
            <w:vAlign w:val="center"/>
          </w:tcPr>
          <w:p w14:paraId="0794C8B7" w14:textId="77777777" w:rsidR="00656B50" w:rsidRPr="00A3610C" w:rsidRDefault="00656B50" w:rsidP="007C7047">
            <w:pPr>
              <w:widowControl w:val="0"/>
              <w:spacing w:line="360" w:lineRule="exact"/>
              <w:jc w:val="center"/>
              <w:rPr>
                <w:sz w:val="24"/>
                <w:szCs w:val="24"/>
              </w:rPr>
            </w:pPr>
          </w:p>
        </w:tc>
        <w:tc>
          <w:tcPr>
            <w:tcW w:w="1505" w:type="dxa"/>
            <w:shd w:val="clear" w:color="auto" w:fill="auto"/>
            <w:vAlign w:val="center"/>
          </w:tcPr>
          <w:p w14:paraId="71E4BBBD" w14:textId="77777777" w:rsidR="00656B50" w:rsidRPr="00A3610C" w:rsidRDefault="00656B50" w:rsidP="007C7047">
            <w:pPr>
              <w:widowControl w:val="0"/>
              <w:spacing w:line="360" w:lineRule="exact"/>
              <w:jc w:val="center"/>
              <w:rPr>
                <w:sz w:val="24"/>
                <w:szCs w:val="24"/>
              </w:rPr>
            </w:pPr>
            <w:r w:rsidRPr="00A3610C">
              <w:rPr>
                <w:sz w:val="24"/>
                <w:szCs w:val="24"/>
              </w:rPr>
              <w:t>A00</w:t>
            </w:r>
          </w:p>
        </w:tc>
        <w:tc>
          <w:tcPr>
            <w:tcW w:w="1632" w:type="dxa"/>
          </w:tcPr>
          <w:p w14:paraId="6F0348C1" w14:textId="77777777" w:rsidR="00656B50" w:rsidRPr="00A3610C" w:rsidRDefault="00656B50" w:rsidP="007C7047">
            <w:pPr>
              <w:widowControl w:val="0"/>
              <w:spacing w:line="360" w:lineRule="exact"/>
              <w:jc w:val="center"/>
              <w:rPr>
                <w:sz w:val="24"/>
                <w:szCs w:val="24"/>
              </w:rPr>
            </w:pPr>
            <w:r w:rsidRPr="00A3610C">
              <w:rPr>
                <w:sz w:val="24"/>
                <w:szCs w:val="24"/>
              </w:rPr>
              <w:t>B00</w:t>
            </w:r>
          </w:p>
        </w:tc>
        <w:tc>
          <w:tcPr>
            <w:tcW w:w="1507" w:type="dxa"/>
          </w:tcPr>
          <w:p w14:paraId="6C0B0122" w14:textId="77777777" w:rsidR="00656B50" w:rsidRPr="00A3610C" w:rsidRDefault="00656B50" w:rsidP="007C7047">
            <w:pPr>
              <w:widowControl w:val="0"/>
              <w:spacing w:line="360" w:lineRule="exact"/>
              <w:jc w:val="center"/>
              <w:rPr>
                <w:sz w:val="24"/>
                <w:szCs w:val="24"/>
              </w:rPr>
            </w:pPr>
            <w:r w:rsidRPr="00A3610C">
              <w:rPr>
                <w:sz w:val="24"/>
                <w:szCs w:val="24"/>
              </w:rPr>
              <w:t>D00</w:t>
            </w:r>
          </w:p>
        </w:tc>
        <w:tc>
          <w:tcPr>
            <w:tcW w:w="1353" w:type="dxa"/>
          </w:tcPr>
          <w:p w14:paraId="7D375A47" w14:textId="77777777" w:rsidR="00656B50" w:rsidRPr="00A3610C" w:rsidRDefault="00656B50" w:rsidP="007C7047">
            <w:pPr>
              <w:widowControl w:val="0"/>
              <w:spacing w:line="360" w:lineRule="exact"/>
              <w:jc w:val="center"/>
              <w:rPr>
                <w:sz w:val="24"/>
                <w:szCs w:val="24"/>
              </w:rPr>
            </w:pPr>
            <w:r w:rsidRPr="00A3610C">
              <w:rPr>
                <w:sz w:val="24"/>
                <w:szCs w:val="24"/>
              </w:rPr>
              <w:t>…</w:t>
            </w:r>
          </w:p>
        </w:tc>
      </w:tr>
      <w:tr w:rsidR="00656B50" w:rsidRPr="00A3610C" w14:paraId="2B87318C" w14:textId="77777777" w:rsidTr="007C7047">
        <w:trPr>
          <w:gridAfter w:val="1"/>
          <w:wAfter w:w="7" w:type="dxa"/>
          <w:jc w:val="center"/>
        </w:trPr>
        <w:tc>
          <w:tcPr>
            <w:tcW w:w="1482" w:type="dxa"/>
            <w:shd w:val="clear" w:color="auto" w:fill="auto"/>
            <w:vAlign w:val="center"/>
          </w:tcPr>
          <w:p w14:paraId="46FFFF1C" w14:textId="77777777" w:rsidR="00656B50" w:rsidRPr="00A3610C" w:rsidRDefault="00656B50" w:rsidP="007C7047">
            <w:pPr>
              <w:widowControl w:val="0"/>
              <w:spacing w:line="360" w:lineRule="exact"/>
              <w:jc w:val="center"/>
              <w:rPr>
                <w:sz w:val="24"/>
                <w:szCs w:val="24"/>
              </w:rPr>
            </w:pPr>
            <w:r w:rsidRPr="00A3610C">
              <w:rPr>
                <w:sz w:val="24"/>
                <w:szCs w:val="24"/>
              </w:rPr>
              <w:t>3</w:t>
            </w:r>
          </w:p>
        </w:tc>
        <w:tc>
          <w:tcPr>
            <w:tcW w:w="1709" w:type="dxa"/>
            <w:vAlign w:val="center"/>
          </w:tcPr>
          <w:p w14:paraId="65EAB753" w14:textId="77777777" w:rsidR="00656B50" w:rsidRPr="00A3610C" w:rsidRDefault="00656B50" w:rsidP="007C7047">
            <w:pPr>
              <w:widowControl w:val="0"/>
              <w:spacing w:line="360" w:lineRule="exact"/>
              <w:jc w:val="center"/>
              <w:rPr>
                <w:sz w:val="24"/>
                <w:szCs w:val="24"/>
              </w:rPr>
            </w:pPr>
            <w:r w:rsidRPr="00A3610C">
              <w:rPr>
                <w:sz w:val="24"/>
                <w:szCs w:val="24"/>
              </w:rPr>
              <w:t>X0</w:t>
            </w:r>
          </w:p>
        </w:tc>
        <w:tc>
          <w:tcPr>
            <w:tcW w:w="1505" w:type="dxa"/>
            <w:shd w:val="clear" w:color="auto" w:fill="auto"/>
            <w:vAlign w:val="center"/>
          </w:tcPr>
          <w:p w14:paraId="7887E967" w14:textId="77777777" w:rsidR="00656B50" w:rsidRPr="00A3610C" w:rsidRDefault="00656B50" w:rsidP="007C7047">
            <w:pPr>
              <w:widowControl w:val="0"/>
              <w:spacing w:line="360" w:lineRule="exact"/>
              <w:jc w:val="center"/>
              <w:rPr>
                <w:sz w:val="24"/>
                <w:szCs w:val="24"/>
              </w:rPr>
            </w:pPr>
            <w:r w:rsidRPr="00A3610C">
              <w:rPr>
                <w:sz w:val="24"/>
                <w:szCs w:val="24"/>
              </w:rPr>
              <w:t>A0</w:t>
            </w:r>
          </w:p>
        </w:tc>
        <w:tc>
          <w:tcPr>
            <w:tcW w:w="1632" w:type="dxa"/>
            <w:vAlign w:val="center"/>
          </w:tcPr>
          <w:p w14:paraId="11121719" w14:textId="77777777" w:rsidR="00656B50" w:rsidRPr="00A3610C" w:rsidRDefault="00656B50" w:rsidP="007C7047">
            <w:pPr>
              <w:widowControl w:val="0"/>
              <w:spacing w:line="360" w:lineRule="exact"/>
              <w:jc w:val="center"/>
              <w:rPr>
                <w:sz w:val="24"/>
                <w:szCs w:val="24"/>
              </w:rPr>
            </w:pPr>
            <w:r w:rsidRPr="00A3610C">
              <w:rPr>
                <w:sz w:val="24"/>
                <w:szCs w:val="24"/>
              </w:rPr>
              <w:t>B0</w:t>
            </w:r>
          </w:p>
        </w:tc>
        <w:tc>
          <w:tcPr>
            <w:tcW w:w="1507" w:type="dxa"/>
            <w:vAlign w:val="center"/>
          </w:tcPr>
          <w:p w14:paraId="7E0CC52A" w14:textId="77777777" w:rsidR="00656B50" w:rsidRPr="00A3610C" w:rsidRDefault="00656B50" w:rsidP="007C7047">
            <w:pPr>
              <w:widowControl w:val="0"/>
              <w:spacing w:line="360" w:lineRule="exact"/>
              <w:jc w:val="center"/>
              <w:rPr>
                <w:sz w:val="24"/>
                <w:szCs w:val="24"/>
              </w:rPr>
            </w:pPr>
            <w:r w:rsidRPr="00A3610C">
              <w:rPr>
                <w:sz w:val="24"/>
                <w:szCs w:val="24"/>
              </w:rPr>
              <w:t>D0</w:t>
            </w:r>
          </w:p>
        </w:tc>
        <w:tc>
          <w:tcPr>
            <w:tcW w:w="1353" w:type="dxa"/>
          </w:tcPr>
          <w:p w14:paraId="4AF4C71B" w14:textId="77777777" w:rsidR="00656B50" w:rsidRPr="00A3610C" w:rsidRDefault="00656B50" w:rsidP="007C7047">
            <w:pPr>
              <w:widowControl w:val="0"/>
              <w:spacing w:line="360" w:lineRule="exact"/>
              <w:jc w:val="center"/>
              <w:rPr>
                <w:sz w:val="24"/>
                <w:szCs w:val="24"/>
              </w:rPr>
            </w:pPr>
          </w:p>
        </w:tc>
      </w:tr>
      <w:tr w:rsidR="00656B50" w:rsidRPr="00A3610C" w14:paraId="1867579F" w14:textId="77777777" w:rsidTr="007C7047">
        <w:trPr>
          <w:gridAfter w:val="1"/>
          <w:wAfter w:w="7" w:type="dxa"/>
          <w:jc w:val="center"/>
        </w:trPr>
        <w:tc>
          <w:tcPr>
            <w:tcW w:w="1482" w:type="dxa"/>
            <w:shd w:val="clear" w:color="auto" w:fill="auto"/>
            <w:vAlign w:val="center"/>
          </w:tcPr>
          <w:p w14:paraId="7C84A06C" w14:textId="77777777" w:rsidR="00656B50" w:rsidRPr="00A3610C" w:rsidRDefault="00656B50" w:rsidP="007C7047">
            <w:pPr>
              <w:widowControl w:val="0"/>
              <w:spacing w:line="360" w:lineRule="exact"/>
              <w:jc w:val="center"/>
              <w:rPr>
                <w:sz w:val="24"/>
                <w:szCs w:val="24"/>
              </w:rPr>
            </w:pPr>
            <w:r w:rsidRPr="00A3610C">
              <w:rPr>
                <w:sz w:val="24"/>
                <w:szCs w:val="24"/>
              </w:rPr>
              <w:t>0,5%</w:t>
            </w:r>
          </w:p>
        </w:tc>
        <w:tc>
          <w:tcPr>
            <w:tcW w:w="1709" w:type="dxa"/>
            <w:vAlign w:val="center"/>
          </w:tcPr>
          <w:p w14:paraId="070B43E7" w14:textId="77777777" w:rsidR="00656B50" w:rsidRPr="00A3610C" w:rsidRDefault="00656B50" w:rsidP="007C7047">
            <w:pPr>
              <w:widowControl w:val="0"/>
              <w:spacing w:line="360" w:lineRule="exact"/>
              <w:jc w:val="center"/>
              <w:rPr>
                <w:sz w:val="24"/>
                <w:szCs w:val="24"/>
              </w:rPr>
            </w:pPr>
            <w:r w:rsidRPr="00A3610C">
              <w:rPr>
                <w:sz w:val="24"/>
                <w:szCs w:val="24"/>
              </w:rPr>
              <w:t>X1</w:t>
            </w:r>
          </w:p>
        </w:tc>
        <w:tc>
          <w:tcPr>
            <w:tcW w:w="1505" w:type="dxa"/>
            <w:shd w:val="clear" w:color="auto" w:fill="auto"/>
            <w:vAlign w:val="center"/>
          </w:tcPr>
          <w:p w14:paraId="5638A159" w14:textId="77777777" w:rsidR="00656B50" w:rsidRPr="00A3610C" w:rsidRDefault="00656B50" w:rsidP="007C7047">
            <w:pPr>
              <w:widowControl w:val="0"/>
              <w:spacing w:line="360" w:lineRule="exact"/>
              <w:jc w:val="center"/>
              <w:rPr>
                <w:sz w:val="24"/>
                <w:szCs w:val="24"/>
              </w:rPr>
            </w:pPr>
            <w:r w:rsidRPr="00A3610C">
              <w:rPr>
                <w:sz w:val="24"/>
                <w:szCs w:val="24"/>
              </w:rPr>
              <w:t xml:space="preserve"> A1</w:t>
            </w:r>
          </w:p>
        </w:tc>
        <w:tc>
          <w:tcPr>
            <w:tcW w:w="1632" w:type="dxa"/>
            <w:vAlign w:val="center"/>
          </w:tcPr>
          <w:p w14:paraId="5592C885" w14:textId="77777777" w:rsidR="00656B50" w:rsidRPr="00A3610C" w:rsidRDefault="00656B50" w:rsidP="007C7047">
            <w:pPr>
              <w:widowControl w:val="0"/>
              <w:spacing w:line="360" w:lineRule="exact"/>
              <w:jc w:val="center"/>
              <w:rPr>
                <w:sz w:val="24"/>
                <w:szCs w:val="24"/>
              </w:rPr>
            </w:pPr>
            <w:r w:rsidRPr="00A3610C">
              <w:rPr>
                <w:sz w:val="24"/>
                <w:szCs w:val="24"/>
              </w:rPr>
              <w:t>B1</w:t>
            </w:r>
          </w:p>
        </w:tc>
        <w:tc>
          <w:tcPr>
            <w:tcW w:w="1507" w:type="dxa"/>
            <w:vAlign w:val="center"/>
          </w:tcPr>
          <w:p w14:paraId="7B237373" w14:textId="77777777" w:rsidR="00656B50" w:rsidRPr="00A3610C" w:rsidRDefault="00656B50" w:rsidP="007C7047">
            <w:pPr>
              <w:widowControl w:val="0"/>
              <w:spacing w:line="360" w:lineRule="exact"/>
              <w:jc w:val="center"/>
              <w:rPr>
                <w:sz w:val="24"/>
                <w:szCs w:val="24"/>
              </w:rPr>
            </w:pPr>
            <w:r w:rsidRPr="00A3610C">
              <w:rPr>
                <w:sz w:val="24"/>
                <w:szCs w:val="24"/>
              </w:rPr>
              <w:t xml:space="preserve"> D1</w:t>
            </w:r>
          </w:p>
        </w:tc>
        <w:tc>
          <w:tcPr>
            <w:tcW w:w="1353" w:type="dxa"/>
          </w:tcPr>
          <w:p w14:paraId="1A10FA84" w14:textId="77777777" w:rsidR="00656B50" w:rsidRPr="00A3610C" w:rsidRDefault="00656B50" w:rsidP="007C7047">
            <w:pPr>
              <w:widowControl w:val="0"/>
              <w:spacing w:line="360" w:lineRule="exact"/>
              <w:jc w:val="center"/>
              <w:rPr>
                <w:sz w:val="24"/>
                <w:szCs w:val="24"/>
              </w:rPr>
            </w:pPr>
          </w:p>
        </w:tc>
      </w:tr>
      <w:tr w:rsidR="00656B50" w:rsidRPr="00A3610C" w14:paraId="70A256F8" w14:textId="77777777" w:rsidTr="007C7047">
        <w:trPr>
          <w:gridAfter w:val="1"/>
          <w:wAfter w:w="7" w:type="dxa"/>
          <w:jc w:val="center"/>
        </w:trPr>
        <w:tc>
          <w:tcPr>
            <w:tcW w:w="1482" w:type="dxa"/>
            <w:shd w:val="clear" w:color="auto" w:fill="auto"/>
            <w:vAlign w:val="center"/>
          </w:tcPr>
          <w:p w14:paraId="4F99350B" w14:textId="77777777" w:rsidR="00656B50" w:rsidRPr="00A3610C" w:rsidRDefault="00656B50" w:rsidP="007C7047">
            <w:pPr>
              <w:widowControl w:val="0"/>
              <w:spacing w:line="360" w:lineRule="exact"/>
              <w:jc w:val="center"/>
              <w:rPr>
                <w:sz w:val="24"/>
                <w:szCs w:val="24"/>
              </w:rPr>
            </w:pPr>
            <w:r w:rsidRPr="00A3610C">
              <w:rPr>
                <w:sz w:val="24"/>
                <w:szCs w:val="24"/>
              </w:rPr>
              <w:t>1%</w:t>
            </w:r>
          </w:p>
        </w:tc>
        <w:tc>
          <w:tcPr>
            <w:tcW w:w="1709" w:type="dxa"/>
            <w:vAlign w:val="center"/>
          </w:tcPr>
          <w:p w14:paraId="4394CF5F" w14:textId="77777777" w:rsidR="00656B50" w:rsidRPr="00A3610C" w:rsidRDefault="00656B50" w:rsidP="007C7047">
            <w:pPr>
              <w:widowControl w:val="0"/>
              <w:spacing w:line="360" w:lineRule="exact"/>
              <w:jc w:val="center"/>
              <w:rPr>
                <w:sz w:val="24"/>
                <w:szCs w:val="24"/>
              </w:rPr>
            </w:pPr>
            <w:r w:rsidRPr="00A3610C">
              <w:rPr>
                <w:sz w:val="24"/>
                <w:szCs w:val="24"/>
              </w:rPr>
              <w:t xml:space="preserve">X2 </w:t>
            </w:r>
          </w:p>
        </w:tc>
        <w:tc>
          <w:tcPr>
            <w:tcW w:w="1505" w:type="dxa"/>
            <w:shd w:val="clear" w:color="auto" w:fill="auto"/>
            <w:vAlign w:val="center"/>
          </w:tcPr>
          <w:p w14:paraId="3EE44A53" w14:textId="77777777" w:rsidR="00656B50" w:rsidRPr="00A3610C" w:rsidRDefault="00656B50" w:rsidP="007C7047">
            <w:pPr>
              <w:widowControl w:val="0"/>
              <w:spacing w:line="360" w:lineRule="exact"/>
              <w:jc w:val="center"/>
              <w:rPr>
                <w:sz w:val="24"/>
                <w:szCs w:val="24"/>
              </w:rPr>
            </w:pPr>
            <w:r w:rsidRPr="00A3610C">
              <w:rPr>
                <w:sz w:val="24"/>
                <w:szCs w:val="24"/>
              </w:rPr>
              <w:t xml:space="preserve"> A2 </w:t>
            </w:r>
          </w:p>
        </w:tc>
        <w:tc>
          <w:tcPr>
            <w:tcW w:w="1632" w:type="dxa"/>
            <w:vAlign w:val="center"/>
          </w:tcPr>
          <w:p w14:paraId="570431AF" w14:textId="77777777" w:rsidR="00656B50" w:rsidRPr="00A3610C" w:rsidRDefault="00656B50" w:rsidP="007C7047">
            <w:pPr>
              <w:widowControl w:val="0"/>
              <w:spacing w:line="360" w:lineRule="exact"/>
              <w:jc w:val="center"/>
              <w:rPr>
                <w:sz w:val="24"/>
                <w:szCs w:val="24"/>
              </w:rPr>
            </w:pPr>
            <w:r w:rsidRPr="00A3610C">
              <w:rPr>
                <w:sz w:val="24"/>
                <w:szCs w:val="24"/>
              </w:rPr>
              <w:t xml:space="preserve"> B2 </w:t>
            </w:r>
          </w:p>
        </w:tc>
        <w:tc>
          <w:tcPr>
            <w:tcW w:w="1507" w:type="dxa"/>
            <w:vAlign w:val="center"/>
          </w:tcPr>
          <w:p w14:paraId="56F2F71E" w14:textId="77777777" w:rsidR="00656B50" w:rsidRPr="00A3610C" w:rsidRDefault="00656B50" w:rsidP="007C7047">
            <w:pPr>
              <w:widowControl w:val="0"/>
              <w:spacing w:line="360" w:lineRule="exact"/>
              <w:jc w:val="center"/>
              <w:rPr>
                <w:sz w:val="24"/>
                <w:szCs w:val="24"/>
              </w:rPr>
            </w:pPr>
            <w:r w:rsidRPr="00A3610C">
              <w:rPr>
                <w:sz w:val="24"/>
                <w:szCs w:val="24"/>
              </w:rPr>
              <w:t xml:space="preserve"> D2 </w:t>
            </w:r>
          </w:p>
        </w:tc>
        <w:tc>
          <w:tcPr>
            <w:tcW w:w="1353" w:type="dxa"/>
          </w:tcPr>
          <w:p w14:paraId="41FF0CFE" w14:textId="77777777" w:rsidR="00656B50" w:rsidRPr="00A3610C" w:rsidRDefault="00656B50" w:rsidP="007C7047">
            <w:pPr>
              <w:widowControl w:val="0"/>
              <w:spacing w:line="360" w:lineRule="exact"/>
              <w:jc w:val="center"/>
              <w:rPr>
                <w:sz w:val="24"/>
                <w:szCs w:val="24"/>
              </w:rPr>
            </w:pPr>
          </w:p>
        </w:tc>
      </w:tr>
      <w:tr w:rsidR="00656B50" w:rsidRPr="00A3610C" w14:paraId="1F901F77" w14:textId="77777777" w:rsidTr="007C7047">
        <w:trPr>
          <w:gridAfter w:val="1"/>
          <w:wAfter w:w="7" w:type="dxa"/>
          <w:jc w:val="center"/>
        </w:trPr>
        <w:tc>
          <w:tcPr>
            <w:tcW w:w="1482" w:type="dxa"/>
            <w:shd w:val="clear" w:color="auto" w:fill="auto"/>
            <w:vAlign w:val="center"/>
          </w:tcPr>
          <w:p w14:paraId="1EEF5B1C" w14:textId="77777777" w:rsidR="00656B50" w:rsidRPr="00A3610C" w:rsidRDefault="00656B50" w:rsidP="007C7047">
            <w:pPr>
              <w:widowControl w:val="0"/>
              <w:spacing w:line="360" w:lineRule="exact"/>
              <w:jc w:val="center"/>
              <w:rPr>
                <w:sz w:val="24"/>
                <w:szCs w:val="24"/>
              </w:rPr>
            </w:pPr>
            <w:r w:rsidRPr="00A3610C">
              <w:rPr>
                <w:sz w:val="24"/>
                <w:szCs w:val="24"/>
              </w:rPr>
              <w:t>2%</w:t>
            </w:r>
          </w:p>
        </w:tc>
        <w:tc>
          <w:tcPr>
            <w:tcW w:w="1709" w:type="dxa"/>
            <w:vAlign w:val="center"/>
          </w:tcPr>
          <w:p w14:paraId="5F87141E" w14:textId="77777777" w:rsidR="00656B50" w:rsidRPr="00A3610C" w:rsidRDefault="00656B50" w:rsidP="007C7047">
            <w:pPr>
              <w:widowControl w:val="0"/>
              <w:spacing w:line="360" w:lineRule="exact"/>
              <w:jc w:val="center"/>
              <w:rPr>
                <w:sz w:val="24"/>
                <w:szCs w:val="24"/>
              </w:rPr>
            </w:pPr>
            <w:r w:rsidRPr="00A3610C">
              <w:rPr>
                <w:sz w:val="24"/>
                <w:szCs w:val="24"/>
              </w:rPr>
              <w:t xml:space="preserve">X3 </w:t>
            </w:r>
          </w:p>
        </w:tc>
        <w:tc>
          <w:tcPr>
            <w:tcW w:w="1505" w:type="dxa"/>
            <w:shd w:val="clear" w:color="auto" w:fill="auto"/>
            <w:vAlign w:val="center"/>
          </w:tcPr>
          <w:p w14:paraId="5C1B9FA9" w14:textId="77777777" w:rsidR="00656B50" w:rsidRPr="00A3610C" w:rsidRDefault="00656B50" w:rsidP="007C7047">
            <w:pPr>
              <w:widowControl w:val="0"/>
              <w:spacing w:line="360" w:lineRule="exact"/>
              <w:jc w:val="center"/>
              <w:rPr>
                <w:sz w:val="24"/>
                <w:szCs w:val="24"/>
              </w:rPr>
            </w:pPr>
            <w:r w:rsidRPr="00A3610C">
              <w:rPr>
                <w:sz w:val="24"/>
                <w:szCs w:val="24"/>
              </w:rPr>
              <w:t xml:space="preserve"> A3 </w:t>
            </w:r>
          </w:p>
        </w:tc>
        <w:tc>
          <w:tcPr>
            <w:tcW w:w="1632" w:type="dxa"/>
            <w:vAlign w:val="center"/>
          </w:tcPr>
          <w:p w14:paraId="2AC8EB4A" w14:textId="77777777" w:rsidR="00656B50" w:rsidRPr="00A3610C" w:rsidRDefault="00656B50" w:rsidP="007C7047">
            <w:pPr>
              <w:widowControl w:val="0"/>
              <w:spacing w:line="360" w:lineRule="exact"/>
              <w:jc w:val="center"/>
              <w:rPr>
                <w:sz w:val="24"/>
                <w:szCs w:val="24"/>
              </w:rPr>
            </w:pPr>
            <w:r w:rsidRPr="00A3610C">
              <w:rPr>
                <w:sz w:val="24"/>
                <w:szCs w:val="24"/>
              </w:rPr>
              <w:t xml:space="preserve"> B3 </w:t>
            </w:r>
          </w:p>
        </w:tc>
        <w:tc>
          <w:tcPr>
            <w:tcW w:w="1507" w:type="dxa"/>
            <w:vAlign w:val="center"/>
          </w:tcPr>
          <w:p w14:paraId="78F74800" w14:textId="77777777" w:rsidR="00656B50" w:rsidRPr="00A3610C" w:rsidRDefault="00656B50" w:rsidP="007C7047">
            <w:pPr>
              <w:widowControl w:val="0"/>
              <w:spacing w:line="360" w:lineRule="exact"/>
              <w:jc w:val="center"/>
              <w:rPr>
                <w:sz w:val="24"/>
                <w:szCs w:val="24"/>
              </w:rPr>
            </w:pPr>
            <w:r w:rsidRPr="00A3610C">
              <w:rPr>
                <w:sz w:val="24"/>
                <w:szCs w:val="24"/>
              </w:rPr>
              <w:t xml:space="preserve"> D3 </w:t>
            </w:r>
          </w:p>
        </w:tc>
        <w:tc>
          <w:tcPr>
            <w:tcW w:w="1353" w:type="dxa"/>
          </w:tcPr>
          <w:p w14:paraId="41922B33" w14:textId="77777777" w:rsidR="00656B50" w:rsidRPr="00A3610C" w:rsidRDefault="00656B50" w:rsidP="007C7047">
            <w:pPr>
              <w:widowControl w:val="0"/>
              <w:spacing w:line="360" w:lineRule="exact"/>
              <w:jc w:val="center"/>
              <w:rPr>
                <w:sz w:val="24"/>
                <w:szCs w:val="24"/>
              </w:rPr>
            </w:pPr>
          </w:p>
        </w:tc>
      </w:tr>
      <w:tr w:rsidR="00656B50" w:rsidRPr="00A3610C" w14:paraId="632A5955" w14:textId="77777777" w:rsidTr="007C7047">
        <w:trPr>
          <w:gridAfter w:val="1"/>
          <w:wAfter w:w="7" w:type="dxa"/>
          <w:jc w:val="center"/>
        </w:trPr>
        <w:tc>
          <w:tcPr>
            <w:tcW w:w="1482" w:type="dxa"/>
            <w:shd w:val="clear" w:color="auto" w:fill="auto"/>
            <w:vAlign w:val="center"/>
          </w:tcPr>
          <w:p w14:paraId="7713ED32" w14:textId="77777777" w:rsidR="00656B50" w:rsidRPr="00A3610C" w:rsidRDefault="00656B50" w:rsidP="007C7047">
            <w:pPr>
              <w:widowControl w:val="0"/>
              <w:spacing w:line="360" w:lineRule="exact"/>
              <w:jc w:val="center"/>
              <w:rPr>
                <w:sz w:val="24"/>
                <w:szCs w:val="24"/>
              </w:rPr>
            </w:pPr>
            <w:r w:rsidRPr="00A3610C">
              <w:rPr>
                <w:sz w:val="24"/>
                <w:szCs w:val="24"/>
              </w:rPr>
              <w:t>5%</w:t>
            </w:r>
          </w:p>
        </w:tc>
        <w:tc>
          <w:tcPr>
            <w:tcW w:w="1709" w:type="dxa"/>
            <w:vAlign w:val="center"/>
          </w:tcPr>
          <w:p w14:paraId="527F969E" w14:textId="77777777" w:rsidR="00656B50" w:rsidRPr="00A3610C" w:rsidRDefault="00656B50" w:rsidP="007C7047">
            <w:pPr>
              <w:widowControl w:val="0"/>
              <w:spacing w:line="360" w:lineRule="exact"/>
              <w:jc w:val="center"/>
              <w:rPr>
                <w:sz w:val="24"/>
                <w:szCs w:val="24"/>
              </w:rPr>
            </w:pPr>
            <w:r w:rsidRPr="00A3610C">
              <w:rPr>
                <w:sz w:val="24"/>
                <w:szCs w:val="24"/>
              </w:rPr>
              <w:t xml:space="preserve">X4 </w:t>
            </w:r>
          </w:p>
        </w:tc>
        <w:tc>
          <w:tcPr>
            <w:tcW w:w="1505" w:type="dxa"/>
            <w:shd w:val="clear" w:color="auto" w:fill="auto"/>
            <w:vAlign w:val="center"/>
          </w:tcPr>
          <w:p w14:paraId="03C20431" w14:textId="77777777" w:rsidR="00656B50" w:rsidRPr="00A3610C" w:rsidRDefault="00656B50" w:rsidP="007C7047">
            <w:pPr>
              <w:widowControl w:val="0"/>
              <w:spacing w:line="360" w:lineRule="exact"/>
              <w:jc w:val="center"/>
              <w:rPr>
                <w:sz w:val="24"/>
                <w:szCs w:val="24"/>
              </w:rPr>
            </w:pPr>
            <w:r w:rsidRPr="00A3610C">
              <w:rPr>
                <w:sz w:val="24"/>
                <w:szCs w:val="24"/>
              </w:rPr>
              <w:t xml:space="preserve"> A4 </w:t>
            </w:r>
          </w:p>
        </w:tc>
        <w:tc>
          <w:tcPr>
            <w:tcW w:w="1632" w:type="dxa"/>
            <w:vAlign w:val="center"/>
          </w:tcPr>
          <w:p w14:paraId="452788A4" w14:textId="77777777" w:rsidR="00656B50" w:rsidRPr="00A3610C" w:rsidRDefault="00656B50" w:rsidP="007C7047">
            <w:pPr>
              <w:widowControl w:val="0"/>
              <w:spacing w:line="360" w:lineRule="exact"/>
              <w:jc w:val="center"/>
              <w:rPr>
                <w:sz w:val="24"/>
                <w:szCs w:val="24"/>
              </w:rPr>
            </w:pPr>
            <w:r w:rsidRPr="00A3610C">
              <w:rPr>
                <w:sz w:val="24"/>
                <w:szCs w:val="24"/>
              </w:rPr>
              <w:t xml:space="preserve"> B4 </w:t>
            </w:r>
          </w:p>
        </w:tc>
        <w:tc>
          <w:tcPr>
            <w:tcW w:w="1507" w:type="dxa"/>
            <w:vAlign w:val="center"/>
          </w:tcPr>
          <w:p w14:paraId="18B1E84D" w14:textId="77777777" w:rsidR="00656B50" w:rsidRPr="00A3610C" w:rsidRDefault="00656B50" w:rsidP="007C7047">
            <w:pPr>
              <w:widowControl w:val="0"/>
              <w:spacing w:line="360" w:lineRule="exact"/>
              <w:jc w:val="center"/>
              <w:rPr>
                <w:sz w:val="24"/>
                <w:szCs w:val="24"/>
              </w:rPr>
            </w:pPr>
            <w:r w:rsidRPr="00A3610C">
              <w:rPr>
                <w:sz w:val="24"/>
                <w:szCs w:val="24"/>
              </w:rPr>
              <w:t xml:space="preserve"> D4 </w:t>
            </w:r>
          </w:p>
        </w:tc>
        <w:tc>
          <w:tcPr>
            <w:tcW w:w="1353" w:type="dxa"/>
          </w:tcPr>
          <w:p w14:paraId="7C299AF3" w14:textId="77777777" w:rsidR="00656B50" w:rsidRPr="00A3610C" w:rsidRDefault="00656B50" w:rsidP="007C7047">
            <w:pPr>
              <w:widowControl w:val="0"/>
              <w:spacing w:line="360" w:lineRule="exact"/>
              <w:jc w:val="center"/>
              <w:rPr>
                <w:sz w:val="24"/>
                <w:szCs w:val="24"/>
              </w:rPr>
            </w:pPr>
          </w:p>
        </w:tc>
      </w:tr>
      <w:tr w:rsidR="00656B50" w:rsidRPr="00A3610C" w14:paraId="29F619E2" w14:textId="77777777" w:rsidTr="007C7047">
        <w:trPr>
          <w:gridAfter w:val="1"/>
          <w:wAfter w:w="7" w:type="dxa"/>
          <w:jc w:val="center"/>
        </w:trPr>
        <w:tc>
          <w:tcPr>
            <w:tcW w:w="1482" w:type="dxa"/>
            <w:shd w:val="clear" w:color="auto" w:fill="auto"/>
            <w:vAlign w:val="center"/>
          </w:tcPr>
          <w:p w14:paraId="6AB1F1DC" w14:textId="77777777" w:rsidR="00656B50" w:rsidRPr="00A3610C" w:rsidRDefault="00656B50" w:rsidP="007C7047">
            <w:pPr>
              <w:widowControl w:val="0"/>
              <w:spacing w:line="360" w:lineRule="exact"/>
              <w:jc w:val="center"/>
              <w:rPr>
                <w:sz w:val="24"/>
                <w:szCs w:val="24"/>
              </w:rPr>
            </w:pPr>
            <w:r w:rsidRPr="00A3610C">
              <w:rPr>
                <w:sz w:val="24"/>
                <w:szCs w:val="24"/>
              </w:rPr>
              <w:t>10%</w:t>
            </w:r>
          </w:p>
        </w:tc>
        <w:tc>
          <w:tcPr>
            <w:tcW w:w="1709" w:type="dxa"/>
            <w:vAlign w:val="center"/>
          </w:tcPr>
          <w:p w14:paraId="479878E9" w14:textId="77777777" w:rsidR="00656B50" w:rsidRPr="00A3610C" w:rsidRDefault="00656B50" w:rsidP="007C7047">
            <w:pPr>
              <w:widowControl w:val="0"/>
              <w:spacing w:line="360" w:lineRule="exact"/>
              <w:jc w:val="center"/>
              <w:rPr>
                <w:sz w:val="24"/>
                <w:szCs w:val="24"/>
              </w:rPr>
            </w:pPr>
            <w:r w:rsidRPr="00A3610C">
              <w:rPr>
                <w:sz w:val="24"/>
                <w:szCs w:val="24"/>
              </w:rPr>
              <w:t xml:space="preserve">X5 </w:t>
            </w:r>
          </w:p>
        </w:tc>
        <w:tc>
          <w:tcPr>
            <w:tcW w:w="1505" w:type="dxa"/>
            <w:shd w:val="clear" w:color="auto" w:fill="auto"/>
            <w:vAlign w:val="center"/>
          </w:tcPr>
          <w:p w14:paraId="3F636361" w14:textId="77777777" w:rsidR="00656B50" w:rsidRPr="00A3610C" w:rsidRDefault="00656B50" w:rsidP="007C7047">
            <w:pPr>
              <w:widowControl w:val="0"/>
              <w:spacing w:line="360" w:lineRule="exact"/>
              <w:jc w:val="center"/>
              <w:rPr>
                <w:sz w:val="24"/>
                <w:szCs w:val="24"/>
              </w:rPr>
            </w:pPr>
            <w:r w:rsidRPr="00A3610C">
              <w:rPr>
                <w:sz w:val="24"/>
                <w:szCs w:val="24"/>
              </w:rPr>
              <w:t xml:space="preserve"> A5 </w:t>
            </w:r>
          </w:p>
        </w:tc>
        <w:tc>
          <w:tcPr>
            <w:tcW w:w="1632" w:type="dxa"/>
            <w:vAlign w:val="center"/>
          </w:tcPr>
          <w:p w14:paraId="62E846D2" w14:textId="77777777" w:rsidR="00656B50" w:rsidRPr="00A3610C" w:rsidRDefault="00656B50" w:rsidP="007C7047">
            <w:pPr>
              <w:widowControl w:val="0"/>
              <w:spacing w:line="360" w:lineRule="exact"/>
              <w:jc w:val="center"/>
              <w:rPr>
                <w:sz w:val="24"/>
                <w:szCs w:val="24"/>
              </w:rPr>
            </w:pPr>
            <w:r w:rsidRPr="00A3610C">
              <w:rPr>
                <w:sz w:val="24"/>
                <w:szCs w:val="24"/>
              </w:rPr>
              <w:t xml:space="preserve"> B5 </w:t>
            </w:r>
          </w:p>
        </w:tc>
        <w:tc>
          <w:tcPr>
            <w:tcW w:w="1507" w:type="dxa"/>
            <w:vAlign w:val="center"/>
          </w:tcPr>
          <w:p w14:paraId="03F1C42E" w14:textId="77777777" w:rsidR="00656B50" w:rsidRPr="00A3610C" w:rsidRDefault="00656B50" w:rsidP="007C7047">
            <w:pPr>
              <w:widowControl w:val="0"/>
              <w:spacing w:line="360" w:lineRule="exact"/>
              <w:jc w:val="center"/>
              <w:rPr>
                <w:sz w:val="24"/>
                <w:szCs w:val="24"/>
              </w:rPr>
            </w:pPr>
            <w:r w:rsidRPr="00A3610C">
              <w:rPr>
                <w:sz w:val="24"/>
                <w:szCs w:val="24"/>
              </w:rPr>
              <w:t xml:space="preserve"> D5 </w:t>
            </w:r>
          </w:p>
        </w:tc>
        <w:tc>
          <w:tcPr>
            <w:tcW w:w="1353" w:type="dxa"/>
          </w:tcPr>
          <w:p w14:paraId="6CFFBCAD" w14:textId="77777777" w:rsidR="00656B50" w:rsidRPr="00A3610C" w:rsidRDefault="00656B50" w:rsidP="007C7047">
            <w:pPr>
              <w:widowControl w:val="0"/>
              <w:spacing w:line="360" w:lineRule="exact"/>
              <w:jc w:val="center"/>
              <w:rPr>
                <w:sz w:val="24"/>
                <w:szCs w:val="24"/>
              </w:rPr>
            </w:pPr>
          </w:p>
        </w:tc>
      </w:tr>
      <w:tr w:rsidR="00656B50" w:rsidRPr="00A3610C" w14:paraId="63D99EC4" w14:textId="77777777" w:rsidTr="007C7047">
        <w:trPr>
          <w:gridAfter w:val="1"/>
          <w:wAfter w:w="7" w:type="dxa"/>
          <w:jc w:val="center"/>
        </w:trPr>
        <w:tc>
          <w:tcPr>
            <w:tcW w:w="1482" w:type="dxa"/>
            <w:shd w:val="clear" w:color="auto" w:fill="auto"/>
            <w:vAlign w:val="center"/>
          </w:tcPr>
          <w:p w14:paraId="614BAF44" w14:textId="77777777" w:rsidR="00656B50" w:rsidRPr="00A3610C" w:rsidRDefault="00656B50" w:rsidP="007C7047">
            <w:pPr>
              <w:widowControl w:val="0"/>
              <w:spacing w:line="360" w:lineRule="exact"/>
              <w:jc w:val="center"/>
              <w:rPr>
                <w:sz w:val="24"/>
                <w:szCs w:val="24"/>
              </w:rPr>
            </w:pPr>
            <w:r w:rsidRPr="00A3610C">
              <w:rPr>
                <w:sz w:val="24"/>
                <w:szCs w:val="24"/>
              </w:rPr>
              <w:t>20%</w:t>
            </w:r>
          </w:p>
        </w:tc>
        <w:tc>
          <w:tcPr>
            <w:tcW w:w="1709" w:type="dxa"/>
            <w:vAlign w:val="center"/>
          </w:tcPr>
          <w:p w14:paraId="2F8FBE70" w14:textId="77777777" w:rsidR="00656B50" w:rsidRPr="00A3610C" w:rsidRDefault="00656B50" w:rsidP="007C7047">
            <w:pPr>
              <w:widowControl w:val="0"/>
              <w:spacing w:line="360" w:lineRule="exact"/>
              <w:jc w:val="center"/>
              <w:rPr>
                <w:sz w:val="24"/>
                <w:szCs w:val="24"/>
              </w:rPr>
            </w:pPr>
            <w:r w:rsidRPr="00A3610C">
              <w:rPr>
                <w:sz w:val="24"/>
                <w:szCs w:val="24"/>
              </w:rPr>
              <w:t>X6</w:t>
            </w:r>
          </w:p>
        </w:tc>
        <w:tc>
          <w:tcPr>
            <w:tcW w:w="1505" w:type="dxa"/>
            <w:shd w:val="clear" w:color="auto" w:fill="auto"/>
            <w:vAlign w:val="center"/>
          </w:tcPr>
          <w:p w14:paraId="38899665" w14:textId="77777777" w:rsidR="00656B50" w:rsidRPr="00A3610C" w:rsidRDefault="00656B50" w:rsidP="007C7047">
            <w:pPr>
              <w:widowControl w:val="0"/>
              <w:spacing w:line="360" w:lineRule="exact"/>
              <w:jc w:val="center"/>
              <w:rPr>
                <w:sz w:val="24"/>
                <w:szCs w:val="24"/>
                <w:lang w:val="vi-VN"/>
              </w:rPr>
            </w:pPr>
            <w:r w:rsidRPr="00A3610C">
              <w:rPr>
                <w:sz w:val="24"/>
                <w:szCs w:val="24"/>
              </w:rPr>
              <w:t xml:space="preserve"> A6 </w:t>
            </w:r>
          </w:p>
        </w:tc>
        <w:tc>
          <w:tcPr>
            <w:tcW w:w="1632" w:type="dxa"/>
            <w:vAlign w:val="center"/>
          </w:tcPr>
          <w:p w14:paraId="115B7404" w14:textId="77777777" w:rsidR="00656B50" w:rsidRPr="00A3610C" w:rsidRDefault="00656B50" w:rsidP="007C7047">
            <w:pPr>
              <w:widowControl w:val="0"/>
              <w:spacing w:line="360" w:lineRule="exact"/>
              <w:jc w:val="center"/>
              <w:rPr>
                <w:sz w:val="24"/>
                <w:szCs w:val="24"/>
                <w:lang w:val="vi-VN"/>
              </w:rPr>
            </w:pPr>
            <w:r w:rsidRPr="00A3610C">
              <w:rPr>
                <w:sz w:val="24"/>
                <w:szCs w:val="24"/>
              </w:rPr>
              <w:t xml:space="preserve"> B6</w:t>
            </w:r>
          </w:p>
        </w:tc>
        <w:tc>
          <w:tcPr>
            <w:tcW w:w="1507" w:type="dxa"/>
            <w:vAlign w:val="center"/>
          </w:tcPr>
          <w:p w14:paraId="7C7E7053" w14:textId="77777777" w:rsidR="00656B50" w:rsidRPr="00A3610C" w:rsidRDefault="00656B50" w:rsidP="007C7047">
            <w:pPr>
              <w:widowControl w:val="0"/>
              <w:spacing w:line="360" w:lineRule="exact"/>
              <w:jc w:val="center"/>
              <w:rPr>
                <w:sz w:val="24"/>
                <w:szCs w:val="24"/>
                <w:lang w:val="vi-VN"/>
              </w:rPr>
            </w:pPr>
            <w:r w:rsidRPr="00A3610C">
              <w:rPr>
                <w:sz w:val="24"/>
                <w:szCs w:val="24"/>
              </w:rPr>
              <w:t xml:space="preserve"> D6</w:t>
            </w:r>
          </w:p>
        </w:tc>
        <w:tc>
          <w:tcPr>
            <w:tcW w:w="1353" w:type="dxa"/>
          </w:tcPr>
          <w:p w14:paraId="19A82D2C" w14:textId="77777777" w:rsidR="00656B50" w:rsidRPr="00A3610C" w:rsidRDefault="00656B50" w:rsidP="007C7047">
            <w:pPr>
              <w:widowControl w:val="0"/>
              <w:spacing w:line="360" w:lineRule="exact"/>
              <w:jc w:val="center"/>
              <w:rPr>
                <w:sz w:val="24"/>
                <w:szCs w:val="24"/>
              </w:rPr>
            </w:pPr>
          </w:p>
        </w:tc>
      </w:tr>
      <w:tr w:rsidR="00656B50" w:rsidRPr="00A3610C" w14:paraId="7B2A28D1" w14:textId="77777777" w:rsidTr="007C7047">
        <w:trPr>
          <w:gridAfter w:val="1"/>
          <w:wAfter w:w="7" w:type="dxa"/>
          <w:jc w:val="center"/>
        </w:trPr>
        <w:tc>
          <w:tcPr>
            <w:tcW w:w="1482" w:type="dxa"/>
            <w:shd w:val="clear" w:color="auto" w:fill="auto"/>
            <w:vAlign w:val="center"/>
          </w:tcPr>
          <w:p w14:paraId="2EAC9E5F" w14:textId="77777777" w:rsidR="00656B50" w:rsidRPr="00A3610C" w:rsidRDefault="00656B50" w:rsidP="007C7047">
            <w:pPr>
              <w:widowControl w:val="0"/>
              <w:spacing w:line="360" w:lineRule="exact"/>
              <w:jc w:val="center"/>
              <w:rPr>
                <w:sz w:val="24"/>
                <w:szCs w:val="24"/>
              </w:rPr>
            </w:pPr>
            <w:r w:rsidRPr="00A3610C">
              <w:rPr>
                <w:sz w:val="24"/>
                <w:szCs w:val="24"/>
              </w:rPr>
              <w:t>30%</w:t>
            </w:r>
          </w:p>
        </w:tc>
        <w:tc>
          <w:tcPr>
            <w:tcW w:w="1709" w:type="dxa"/>
            <w:vAlign w:val="center"/>
          </w:tcPr>
          <w:p w14:paraId="2F445BD5" w14:textId="77777777" w:rsidR="00656B50" w:rsidRPr="00A3610C" w:rsidRDefault="00656B50" w:rsidP="007C7047">
            <w:pPr>
              <w:widowControl w:val="0"/>
              <w:spacing w:line="360" w:lineRule="exact"/>
              <w:jc w:val="center"/>
              <w:rPr>
                <w:sz w:val="24"/>
                <w:szCs w:val="24"/>
              </w:rPr>
            </w:pPr>
            <w:r w:rsidRPr="00A3610C">
              <w:rPr>
                <w:sz w:val="24"/>
                <w:szCs w:val="24"/>
              </w:rPr>
              <w:t xml:space="preserve">X7 </w:t>
            </w:r>
          </w:p>
        </w:tc>
        <w:tc>
          <w:tcPr>
            <w:tcW w:w="1505" w:type="dxa"/>
            <w:shd w:val="clear" w:color="auto" w:fill="auto"/>
            <w:vAlign w:val="center"/>
          </w:tcPr>
          <w:p w14:paraId="6C83D27E" w14:textId="77777777" w:rsidR="00656B50" w:rsidRPr="00A3610C" w:rsidRDefault="00656B50" w:rsidP="007C7047">
            <w:pPr>
              <w:widowControl w:val="0"/>
              <w:spacing w:line="360" w:lineRule="exact"/>
              <w:jc w:val="center"/>
              <w:rPr>
                <w:sz w:val="24"/>
                <w:szCs w:val="24"/>
              </w:rPr>
            </w:pPr>
            <w:r w:rsidRPr="00A3610C">
              <w:rPr>
                <w:sz w:val="24"/>
                <w:szCs w:val="24"/>
              </w:rPr>
              <w:t xml:space="preserve"> A7 </w:t>
            </w:r>
          </w:p>
        </w:tc>
        <w:tc>
          <w:tcPr>
            <w:tcW w:w="1632" w:type="dxa"/>
            <w:vAlign w:val="center"/>
          </w:tcPr>
          <w:p w14:paraId="182F1CFE" w14:textId="77777777" w:rsidR="00656B50" w:rsidRPr="00A3610C" w:rsidRDefault="00656B50" w:rsidP="007C7047">
            <w:pPr>
              <w:widowControl w:val="0"/>
              <w:spacing w:line="360" w:lineRule="exact"/>
              <w:jc w:val="center"/>
              <w:rPr>
                <w:sz w:val="24"/>
                <w:szCs w:val="24"/>
              </w:rPr>
            </w:pPr>
            <w:r w:rsidRPr="00A3610C">
              <w:rPr>
                <w:sz w:val="24"/>
                <w:szCs w:val="24"/>
              </w:rPr>
              <w:t xml:space="preserve"> B7 </w:t>
            </w:r>
          </w:p>
        </w:tc>
        <w:tc>
          <w:tcPr>
            <w:tcW w:w="1507" w:type="dxa"/>
            <w:vAlign w:val="center"/>
          </w:tcPr>
          <w:p w14:paraId="6278016E" w14:textId="77777777" w:rsidR="00656B50" w:rsidRPr="00A3610C" w:rsidRDefault="00656B50" w:rsidP="007C7047">
            <w:pPr>
              <w:widowControl w:val="0"/>
              <w:spacing w:line="360" w:lineRule="exact"/>
              <w:jc w:val="center"/>
              <w:rPr>
                <w:sz w:val="24"/>
                <w:szCs w:val="24"/>
              </w:rPr>
            </w:pPr>
            <w:r w:rsidRPr="00A3610C">
              <w:rPr>
                <w:sz w:val="24"/>
                <w:szCs w:val="24"/>
              </w:rPr>
              <w:t xml:space="preserve"> D7 </w:t>
            </w:r>
          </w:p>
        </w:tc>
        <w:tc>
          <w:tcPr>
            <w:tcW w:w="1353" w:type="dxa"/>
          </w:tcPr>
          <w:p w14:paraId="30DBCBE7" w14:textId="77777777" w:rsidR="00656B50" w:rsidRPr="00A3610C" w:rsidRDefault="00656B50" w:rsidP="007C7047">
            <w:pPr>
              <w:widowControl w:val="0"/>
              <w:spacing w:line="360" w:lineRule="exact"/>
              <w:jc w:val="center"/>
              <w:rPr>
                <w:sz w:val="24"/>
                <w:szCs w:val="24"/>
              </w:rPr>
            </w:pPr>
          </w:p>
        </w:tc>
      </w:tr>
      <w:tr w:rsidR="00656B50" w:rsidRPr="00A3610C" w14:paraId="64E8E59F" w14:textId="77777777" w:rsidTr="007C7047">
        <w:trPr>
          <w:gridAfter w:val="1"/>
          <w:wAfter w:w="7" w:type="dxa"/>
          <w:jc w:val="center"/>
        </w:trPr>
        <w:tc>
          <w:tcPr>
            <w:tcW w:w="1482" w:type="dxa"/>
            <w:shd w:val="clear" w:color="auto" w:fill="auto"/>
            <w:vAlign w:val="center"/>
          </w:tcPr>
          <w:p w14:paraId="1B6CDA35" w14:textId="77777777" w:rsidR="00656B50" w:rsidRPr="00A3610C" w:rsidRDefault="00656B50" w:rsidP="007C7047">
            <w:pPr>
              <w:widowControl w:val="0"/>
              <w:spacing w:line="360" w:lineRule="exact"/>
              <w:jc w:val="center"/>
              <w:rPr>
                <w:sz w:val="24"/>
                <w:szCs w:val="24"/>
              </w:rPr>
            </w:pPr>
            <w:r w:rsidRPr="00A3610C">
              <w:rPr>
                <w:sz w:val="24"/>
                <w:szCs w:val="24"/>
              </w:rPr>
              <w:t>50%</w:t>
            </w:r>
          </w:p>
        </w:tc>
        <w:tc>
          <w:tcPr>
            <w:tcW w:w="1709" w:type="dxa"/>
            <w:vAlign w:val="center"/>
          </w:tcPr>
          <w:p w14:paraId="39FBD588" w14:textId="77777777" w:rsidR="00656B50" w:rsidRPr="00A3610C" w:rsidRDefault="00656B50" w:rsidP="007C7047">
            <w:pPr>
              <w:widowControl w:val="0"/>
              <w:spacing w:line="360" w:lineRule="exact"/>
              <w:jc w:val="center"/>
              <w:rPr>
                <w:sz w:val="24"/>
                <w:szCs w:val="24"/>
              </w:rPr>
            </w:pPr>
            <w:r w:rsidRPr="00A3610C">
              <w:rPr>
                <w:sz w:val="24"/>
                <w:szCs w:val="24"/>
              </w:rPr>
              <w:t xml:space="preserve">X8 </w:t>
            </w:r>
          </w:p>
        </w:tc>
        <w:tc>
          <w:tcPr>
            <w:tcW w:w="1505" w:type="dxa"/>
            <w:shd w:val="clear" w:color="auto" w:fill="auto"/>
            <w:vAlign w:val="center"/>
          </w:tcPr>
          <w:p w14:paraId="0D3B97AE" w14:textId="77777777" w:rsidR="00656B50" w:rsidRPr="00A3610C" w:rsidRDefault="00656B50" w:rsidP="007C7047">
            <w:pPr>
              <w:widowControl w:val="0"/>
              <w:spacing w:line="360" w:lineRule="exact"/>
              <w:jc w:val="center"/>
              <w:rPr>
                <w:sz w:val="24"/>
                <w:szCs w:val="24"/>
              </w:rPr>
            </w:pPr>
            <w:r w:rsidRPr="00A3610C">
              <w:rPr>
                <w:sz w:val="24"/>
                <w:szCs w:val="24"/>
              </w:rPr>
              <w:t xml:space="preserve"> A8 </w:t>
            </w:r>
          </w:p>
        </w:tc>
        <w:tc>
          <w:tcPr>
            <w:tcW w:w="1632" w:type="dxa"/>
            <w:vAlign w:val="center"/>
          </w:tcPr>
          <w:p w14:paraId="42369673" w14:textId="77777777" w:rsidR="00656B50" w:rsidRPr="00A3610C" w:rsidRDefault="00656B50" w:rsidP="007C7047">
            <w:pPr>
              <w:widowControl w:val="0"/>
              <w:spacing w:line="360" w:lineRule="exact"/>
              <w:jc w:val="center"/>
              <w:rPr>
                <w:sz w:val="24"/>
                <w:szCs w:val="24"/>
              </w:rPr>
            </w:pPr>
            <w:r w:rsidRPr="00A3610C">
              <w:rPr>
                <w:sz w:val="24"/>
                <w:szCs w:val="24"/>
              </w:rPr>
              <w:t xml:space="preserve"> B8 </w:t>
            </w:r>
          </w:p>
        </w:tc>
        <w:tc>
          <w:tcPr>
            <w:tcW w:w="1507" w:type="dxa"/>
            <w:vAlign w:val="center"/>
          </w:tcPr>
          <w:p w14:paraId="43368202" w14:textId="77777777" w:rsidR="00656B50" w:rsidRPr="00A3610C" w:rsidRDefault="00656B50" w:rsidP="007C7047">
            <w:pPr>
              <w:widowControl w:val="0"/>
              <w:spacing w:line="360" w:lineRule="exact"/>
              <w:jc w:val="center"/>
              <w:rPr>
                <w:sz w:val="24"/>
                <w:szCs w:val="24"/>
              </w:rPr>
            </w:pPr>
            <w:r w:rsidRPr="00A3610C">
              <w:rPr>
                <w:sz w:val="24"/>
                <w:szCs w:val="24"/>
              </w:rPr>
              <w:t xml:space="preserve"> D8 </w:t>
            </w:r>
          </w:p>
        </w:tc>
        <w:tc>
          <w:tcPr>
            <w:tcW w:w="1353" w:type="dxa"/>
          </w:tcPr>
          <w:p w14:paraId="1D266477" w14:textId="77777777" w:rsidR="00656B50" w:rsidRPr="00A3610C" w:rsidRDefault="00656B50" w:rsidP="007C7047">
            <w:pPr>
              <w:widowControl w:val="0"/>
              <w:spacing w:line="360" w:lineRule="exact"/>
              <w:jc w:val="center"/>
              <w:rPr>
                <w:sz w:val="24"/>
                <w:szCs w:val="24"/>
              </w:rPr>
            </w:pPr>
          </w:p>
        </w:tc>
      </w:tr>
      <w:tr w:rsidR="00656B50" w:rsidRPr="00A3610C" w14:paraId="3C3BD54E" w14:textId="77777777" w:rsidTr="007C7047">
        <w:trPr>
          <w:gridAfter w:val="1"/>
          <w:wAfter w:w="7" w:type="dxa"/>
          <w:jc w:val="center"/>
        </w:trPr>
        <w:tc>
          <w:tcPr>
            <w:tcW w:w="1482" w:type="dxa"/>
            <w:shd w:val="clear" w:color="auto" w:fill="auto"/>
            <w:vAlign w:val="center"/>
          </w:tcPr>
          <w:p w14:paraId="55BDEE09" w14:textId="77777777" w:rsidR="00656B50" w:rsidRPr="00A3610C" w:rsidRDefault="00656B50" w:rsidP="007C7047">
            <w:pPr>
              <w:widowControl w:val="0"/>
              <w:spacing w:line="360" w:lineRule="exact"/>
              <w:jc w:val="center"/>
              <w:rPr>
                <w:sz w:val="24"/>
                <w:szCs w:val="24"/>
              </w:rPr>
            </w:pPr>
            <w:r w:rsidRPr="00A3610C">
              <w:rPr>
                <w:sz w:val="24"/>
                <w:szCs w:val="24"/>
              </w:rPr>
              <w:t>…</w:t>
            </w:r>
          </w:p>
        </w:tc>
        <w:tc>
          <w:tcPr>
            <w:tcW w:w="1709" w:type="dxa"/>
            <w:vAlign w:val="center"/>
          </w:tcPr>
          <w:p w14:paraId="7261B0F9" w14:textId="77777777" w:rsidR="00656B50" w:rsidRPr="00A3610C" w:rsidRDefault="00656B50" w:rsidP="007C7047">
            <w:pPr>
              <w:widowControl w:val="0"/>
              <w:spacing w:line="360" w:lineRule="exact"/>
              <w:jc w:val="center"/>
              <w:rPr>
                <w:sz w:val="24"/>
                <w:szCs w:val="24"/>
              </w:rPr>
            </w:pPr>
            <w:r w:rsidRPr="00A3610C">
              <w:rPr>
                <w:sz w:val="24"/>
                <w:szCs w:val="24"/>
              </w:rPr>
              <w:t>…</w:t>
            </w:r>
          </w:p>
        </w:tc>
        <w:tc>
          <w:tcPr>
            <w:tcW w:w="1505" w:type="dxa"/>
            <w:shd w:val="clear" w:color="auto" w:fill="auto"/>
            <w:vAlign w:val="center"/>
          </w:tcPr>
          <w:p w14:paraId="28CF3B44" w14:textId="77777777" w:rsidR="00656B50" w:rsidRPr="00A3610C" w:rsidRDefault="00656B50" w:rsidP="007C7047">
            <w:pPr>
              <w:widowControl w:val="0"/>
              <w:spacing w:line="360" w:lineRule="exact"/>
              <w:jc w:val="center"/>
              <w:rPr>
                <w:sz w:val="24"/>
                <w:szCs w:val="24"/>
              </w:rPr>
            </w:pPr>
            <w:r w:rsidRPr="00A3610C">
              <w:rPr>
                <w:sz w:val="24"/>
                <w:szCs w:val="24"/>
              </w:rPr>
              <w:t>…</w:t>
            </w:r>
          </w:p>
        </w:tc>
        <w:tc>
          <w:tcPr>
            <w:tcW w:w="1632" w:type="dxa"/>
            <w:vAlign w:val="center"/>
          </w:tcPr>
          <w:p w14:paraId="31216E74" w14:textId="77777777" w:rsidR="00656B50" w:rsidRPr="00A3610C" w:rsidRDefault="00656B50" w:rsidP="007C7047">
            <w:pPr>
              <w:widowControl w:val="0"/>
              <w:spacing w:line="360" w:lineRule="exact"/>
              <w:jc w:val="center"/>
              <w:rPr>
                <w:sz w:val="24"/>
                <w:szCs w:val="24"/>
              </w:rPr>
            </w:pPr>
            <w:r w:rsidRPr="00A3610C">
              <w:rPr>
                <w:sz w:val="24"/>
                <w:szCs w:val="24"/>
              </w:rPr>
              <w:t>…</w:t>
            </w:r>
          </w:p>
        </w:tc>
        <w:tc>
          <w:tcPr>
            <w:tcW w:w="1507" w:type="dxa"/>
            <w:vAlign w:val="center"/>
          </w:tcPr>
          <w:p w14:paraId="6A972E4E" w14:textId="77777777" w:rsidR="00656B50" w:rsidRPr="00A3610C" w:rsidRDefault="00656B50" w:rsidP="007C7047">
            <w:pPr>
              <w:widowControl w:val="0"/>
              <w:spacing w:line="360" w:lineRule="exact"/>
              <w:jc w:val="center"/>
              <w:rPr>
                <w:sz w:val="24"/>
                <w:szCs w:val="24"/>
              </w:rPr>
            </w:pPr>
            <w:r w:rsidRPr="00A3610C">
              <w:rPr>
                <w:sz w:val="24"/>
                <w:szCs w:val="24"/>
              </w:rPr>
              <w:t>…</w:t>
            </w:r>
          </w:p>
        </w:tc>
        <w:tc>
          <w:tcPr>
            <w:tcW w:w="1353" w:type="dxa"/>
          </w:tcPr>
          <w:p w14:paraId="44D86231" w14:textId="77777777" w:rsidR="00656B50" w:rsidRPr="00A3610C" w:rsidRDefault="00656B50" w:rsidP="007C7047">
            <w:pPr>
              <w:widowControl w:val="0"/>
              <w:spacing w:line="360" w:lineRule="exact"/>
              <w:jc w:val="center"/>
              <w:rPr>
                <w:sz w:val="24"/>
                <w:szCs w:val="24"/>
              </w:rPr>
            </w:pPr>
          </w:p>
        </w:tc>
      </w:tr>
      <w:tr w:rsidR="00656B50" w:rsidRPr="00A3610C" w14:paraId="7AF6E088" w14:textId="77777777" w:rsidTr="007C7047">
        <w:trPr>
          <w:jc w:val="center"/>
        </w:trPr>
        <w:tc>
          <w:tcPr>
            <w:tcW w:w="9195" w:type="dxa"/>
            <w:gridSpan w:val="7"/>
            <w:shd w:val="clear" w:color="auto" w:fill="auto"/>
            <w:vAlign w:val="center"/>
          </w:tcPr>
          <w:p w14:paraId="5E72F391" w14:textId="77777777" w:rsidR="00656B50" w:rsidRPr="00A3610C" w:rsidRDefault="00656B50" w:rsidP="007C7047">
            <w:pPr>
              <w:widowControl w:val="0"/>
              <w:spacing w:line="240" w:lineRule="auto"/>
              <w:rPr>
                <w:sz w:val="24"/>
                <w:szCs w:val="24"/>
              </w:rPr>
            </w:pPr>
            <w:r w:rsidRPr="00A3610C">
              <w:rPr>
                <w:sz w:val="24"/>
                <w:szCs w:val="24"/>
              </w:rPr>
              <w:t>Ghi chú: Các mức điểm ở dòng đầu (X0, A0, B0, D0…) được tính bằng trung bình cộng của 3 thí sinh có điểm cao nhất tương ứng với mỗi bài thi, tổ hợp môn thi.</w:t>
            </w:r>
          </w:p>
        </w:tc>
      </w:tr>
    </w:tbl>
    <w:p w14:paraId="6C10BFF5" w14:textId="77777777" w:rsidR="00656B50" w:rsidRPr="00A3610C" w:rsidRDefault="00656B50" w:rsidP="00656B50">
      <w:pPr>
        <w:pStyle w:val="ThnVnban"/>
        <w:widowControl w:val="0"/>
        <w:spacing w:before="180"/>
        <w:rPr>
          <w:b/>
          <w:bCs/>
          <w:i/>
          <w:iCs/>
          <w:lang w:val="sv-SE"/>
        </w:rPr>
      </w:pPr>
      <w:r w:rsidRPr="00A3610C">
        <w:rPr>
          <w:b/>
          <w:bCs/>
          <w:i/>
          <w:iCs/>
          <w:lang w:val="sv-SE"/>
        </w:rPr>
        <w:t>Trách nhiệm của các CSĐT tổ chức kỳ thi tuyển sinh, kỳ thi độc lập:</w:t>
      </w:r>
    </w:p>
    <w:p w14:paraId="59A11243" w14:textId="77777777" w:rsidR="00656B50" w:rsidRPr="004B3A51" w:rsidRDefault="00656B50" w:rsidP="00656B50">
      <w:pPr>
        <w:pStyle w:val="ThnVnban"/>
        <w:widowControl w:val="0"/>
        <w:rPr>
          <w:lang w:val="sv-SE"/>
        </w:rPr>
      </w:pPr>
      <w:r w:rsidRPr="00A3610C">
        <w:rPr>
          <w:lang w:val="sv-SE"/>
        </w:rPr>
        <w:t xml:space="preserve">- Xác định </w:t>
      </w:r>
      <w:r w:rsidRPr="00A3610C">
        <w:rPr>
          <w:i/>
          <w:iCs/>
          <w:lang w:val="sv-SE"/>
        </w:rPr>
        <w:t>những tổ hợp môn thi tốt nghiệp phù hợp</w:t>
      </w:r>
      <w:r w:rsidRPr="00A3610C">
        <w:rPr>
          <w:lang w:val="sv-SE"/>
        </w:rPr>
        <w:t xml:space="preserve"> với đặc điểm của bài thi riêng do CSĐT tổ chức và khuyến cáo các CSĐT khác có thể sử dụng, </w:t>
      </w:r>
      <w:r w:rsidRPr="004B3A51">
        <w:rPr>
          <w:lang w:val="sv-SE"/>
        </w:rPr>
        <w:t xml:space="preserve">trong đó </w:t>
      </w:r>
      <w:r w:rsidRPr="004B3A51">
        <w:rPr>
          <w:i/>
          <w:iCs/>
          <w:lang w:val="sv-SE"/>
        </w:rPr>
        <w:t>làm rõ tổ hợp nào phù hợp nhất</w:t>
      </w:r>
      <w:r w:rsidRPr="004B3A51">
        <w:rPr>
          <w:lang w:val="sv-SE"/>
        </w:rPr>
        <w:t>.</w:t>
      </w:r>
    </w:p>
    <w:p w14:paraId="134682B6" w14:textId="77777777" w:rsidR="00656B50" w:rsidRPr="00A3610C" w:rsidRDefault="00656B50" w:rsidP="00656B50">
      <w:pPr>
        <w:pStyle w:val="ThnVnban"/>
        <w:widowControl w:val="0"/>
        <w:rPr>
          <w:lang w:val="sv-SE"/>
        </w:rPr>
      </w:pPr>
      <w:r w:rsidRPr="00A3610C">
        <w:rPr>
          <w:lang w:val="sv-SE"/>
        </w:rPr>
        <w:t xml:space="preserve">- </w:t>
      </w:r>
      <w:r w:rsidRPr="00A3610C">
        <w:rPr>
          <w:i/>
          <w:iCs/>
          <w:lang w:val="sv-SE"/>
        </w:rPr>
        <w:t>Công bố bách phân vị của kết quả bài thi riêng</w:t>
      </w:r>
      <w:r w:rsidRPr="00A3610C">
        <w:rPr>
          <w:lang w:val="sv-SE"/>
        </w:rPr>
        <w:t xml:space="preserve"> năm 2025 (X0, X1... trong Bảng 1) trước ngày 31/5/2025; chậm nhất 30/6/2025 đối với các bài thi có kết quả công bố sau 31/05/2025.</w:t>
      </w:r>
    </w:p>
    <w:p w14:paraId="131148F3" w14:textId="77777777" w:rsidR="00656B50" w:rsidRPr="00A3610C" w:rsidRDefault="00656B50" w:rsidP="00656B50">
      <w:pPr>
        <w:pStyle w:val="ThnVnban"/>
        <w:widowControl w:val="0"/>
        <w:rPr>
          <w:lang w:val="sv-SE"/>
        </w:rPr>
      </w:pPr>
      <w:r w:rsidRPr="00A3610C">
        <w:rPr>
          <w:lang w:val="sv-SE"/>
        </w:rPr>
        <w:t xml:space="preserve">- Phối hợp với Bộ GDĐT để </w:t>
      </w:r>
      <w:r w:rsidRPr="00A3610C">
        <w:rPr>
          <w:i/>
          <w:iCs/>
          <w:lang w:val="sv-SE"/>
        </w:rPr>
        <w:t>phân tích kết quả thi tốt nghiệp THPT của các thí sinh đã có kết quả bài thi riêng</w:t>
      </w:r>
      <w:r w:rsidRPr="00A3610C">
        <w:rPr>
          <w:lang w:val="sv-SE"/>
        </w:rPr>
        <w:t>, trên cơ sở đó công bố các khoảng điểm của các tổ hợp môn thi phù hợp (A0, A1..., B0, B1... trong Bảng 1), chậm nhất 3 ngày sau khi công bố kết quả thi tốt nghiệp THPT năm 2025.</w:t>
      </w:r>
    </w:p>
    <w:p w14:paraId="19285B09" w14:textId="77777777" w:rsidR="00656B50" w:rsidRPr="00A3610C" w:rsidRDefault="00656B50" w:rsidP="00656B50">
      <w:pPr>
        <w:pStyle w:val="ThnVnban"/>
        <w:widowControl w:val="0"/>
        <w:spacing w:before="120"/>
        <w:rPr>
          <w:lang w:val="sv-SE"/>
        </w:rPr>
      </w:pPr>
      <w:r w:rsidRPr="00A3610C">
        <w:rPr>
          <w:lang w:val="sv-SE"/>
        </w:rPr>
        <w:t xml:space="preserve">Trên cơ sở các số liệu này, điểm trúng tuyển và ngưỡng đầu vào của từng ngành, nhóm ngành cụ thể sẽ được quy đổi tuyến tính trong từng khoảng điểm. Ví dụ, điểm trúng tuyển theo tổ hợp A00 (T_A00) nằm trong khoảng A2 - A3 sẽ được quy đổi tương đương </w:t>
      </w:r>
      <w:r w:rsidRPr="00A3610C">
        <w:rPr>
          <w:lang w:val="sv-SE"/>
        </w:rPr>
        <w:lastRenderedPageBreak/>
        <w:t xml:space="preserve">sang điểm trúng tuyển theo điểm thi HSA (T_HSA) theo công thức: </w:t>
      </w:r>
    </w:p>
    <w:p w14:paraId="3C392A0F" w14:textId="77777777" w:rsidR="00656B50" w:rsidRPr="00A3610C" w:rsidRDefault="00656B50" w:rsidP="00656B50">
      <w:pPr>
        <w:pStyle w:val="ThnVnban"/>
        <w:widowControl w:val="0"/>
        <w:rPr>
          <w:lang w:val="sv-SE"/>
        </w:rPr>
      </w:pPr>
      <w:r w:rsidRPr="00A3610C">
        <w:rPr>
          <w:lang w:val="sv-SE"/>
        </w:rPr>
        <w:t xml:space="preserve">T_HSA = HSA3 + (T_A00 – A3) × (HSA2 – HSA3) / (A2 – A3)  </w:t>
      </w:r>
    </w:p>
    <w:p w14:paraId="780F475B" w14:textId="77777777" w:rsidR="00656B50" w:rsidRPr="00A3610C" w:rsidRDefault="00656B50" w:rsidP="00656B50">
      <w:pPr>
        <w:pStyle w:val="ThnVnban"/>
        <w:widowControl w:val="0"/>
        <w:rPr>
          <w:b/>
          <w:bCs/>
          <w:lang w:val="sv-SE"/>
        </w:rPr>
      </w:pPr>
      <w:r w:rsidRPr="00A3610C">
        <w:rPr>
          <w:b/>
          <w:bCs/>
          <w:lang w:val="sv-SE"/>
        </w:rPr>
        <w:t>2. Khung quy đổi giữa các tổ hợp sử dụng điểm thi tốt nghiệp THPT</w:t>
      </w:r>
    </w:p>
    <w:p w14:paraId="7D3159F4" w14:textId="77777777" w:rsidR="00656B50" w:rsidRPr="00A3610C" w:rsidRDefault="00656B50" w:rsidP="00656B50">
      <w:pPr>
        <w:pStyle w:val="ThnVnban"/>
        <w:widowControl w:val="0"/>
        <w:rPr>
          <w:lang w:val="sv-SE"/>
        </w:rPr>
      </w:pPr>
      <w:r w:rsidRPr="00A3610C">
        <w:rPr>
          <w:lang w:val="sv-SE"/>
        </w:rPr>
        <w:t xml:space="preserve">Hệ thống hỗ trợ tuyển sinh chung </w:t>
      </w:r>
      <w:r w:rsidRPr="00A3610C">
        <w:rPr>
          <w:bCs/>
          <w:i/>
          <w:lang w:val="sv-SE"/>
        </w:rPr>
        <w:t>duy trì hình thức nhập điểm chênh</w:t>
      </w:r>
      <w:r w:rsidRPr="00A3610C">
        <w:rPr>
          <w:lang w:val="sv-SE"/>
        </w:rPr>
        <w:t xml:space="preserve"> giữa THXT gốc và các THXT khác cho một ngành của các CSĐT </w:t>
      </w:r>
      <w:r w:rsidRPr="00A3610C">
        <w:rPr>
          <w:bCs/>
          <w:i/>
          <w:lang w:val="sv-SE"/>
        </w:rPr>
        <w:t>như các năm trước</w:t>
      </w:r>
      <w:r w:rsidRPr="00A3610C">
        <w:rPr>
          <w:lang w:val="sv-SE"/>
        </w:rPr>
        <w:t>. Việc xác định mức chênh lệch điểm trúng tuyển giữa các tổ hợp thông dụng sẽ dựa trên đối sánh phổ điểm do Bộ GDĐT công bố sau khi có kết quả thi tốt nghiệp THPT năm 2025 theo từng khoảng điểm trúng tuyển.</w:t>
      </w:r>
    </w:p>
    <w:p w14:paraId="6954D50F" w14:textId="77777777" w:rsidR="00656B50" w:rsidRPr="00A3610C" w:rsidRDefault="00656B50" w:rsidP="00656B50">
      <w:pPr>
        <w:pStyle w:val="ThnVnban"/>
        <w:widowControl w:val="0"/>
        <w:spacing w:before="120"/>
        <w:rPr>
          <w:b/>
          <w:bCs/>
          <w:lang w:val="sv-SE"/>
        </w:rPr>
      </w:pPr>
      <w:r w:rsidRPr="00A3610C">
        <w:rPr>
          <w:b/>
          <w:bCs/>
          <w:lang w:val="sv-SE"/>
        </w:rPr>
        <w:t>3. Khung quy đổi điểm trúng tuyển từ kết quả học tập THPT (điểm học bạ)</w:t>
      </w:r>
    </w:p>
    <w:p w14:paraId="767E7E2E" w14:textId="77777777" w:rsidR="00656B50" w:rsidRPr="00A3610C" w:rsidRDefault="00656B50" w:rsidP="00656B50">
      <w:pPr>
        <w:pStyle w:val="ThnVnban"/>
        <w:widowControl w:val="0"/>
        <w:rPr>
          <w:lang w:val="sv-SE"/>
        </w:rPr>
      </w:pPr>
      <w:r w:rsidRPr="00A3610C">
        <w:rPr>
          <w:lang w:val="sv-SE"/>
        </w:rPr>
        <w:t>Điểm học bạ ở THPT không phản ánh kết quả đánh giá trên một thang đánh giá thống nhất toàn quốc, vì vậy việc xây dựng một khung quy đổi chung không có ý nghĩa. Tuy nhiên, Bộ GDĐT sẽ công bố các số liệu thống kê về tương quan giữa điểm các môn thi tốt nghiệp THPT với điểm trung bình các môn học ở THPT, trên cơ sở đó các CSĐT xác định quy tắc quy đổi tương đương điểm trúng tuyển, ngưỡng đầu vào.</w:t>
      </w:r>
    </w:p>
    <w:p w14:paraId="6DBBB3D4" w14:textId="77777777" w:rsidR="00656B50" w:rsidRPr="00A3610C" w:rsidRDefault="00656B50" w:rsidP="00656B50">
      <w:pPr>
        <w:widowControl w:val="0"/>
        <w:tabs>
          <w:tab w:val="left" w:pos="851"/>
        </w:tabs>
        <w:spacing w:line="360" w:lineRule="exact"/>
        <w:ind w:firstLine="709"/>
        <w:contextualSpacing/>
        <w:jc w:val="both"/>
        <w:rPr>
          <w:szCs w:val="26"/>
          <w:lang w:val="sv-SE"/>
        </w:rPr>
      </w:pPr>
      <w:r w:rsidRPr="00A3610C">
        <w:rPr>
          <w:rFonts w:eastAsia="Arial"/>
          <w:b/>
          <w:kern w:val="2"/>
          <w:szCs w:val="26"/>
          <w:lang w:val="sv-SE"/>
        </w:rPr>
        <w:t>III. HƯỚNG DẪN ÁP DỤNG KHUNG QUY ĐỔI</w:t>
      </w:r>
    </w:p>
    <w:p w14:paraId="54EEB570" w14:textId="77777777" w:rsidR="00656B50" w:rsidRPr="00A3610C" w:rsidRDefault="00656B50" w:rsidP="00656B50">
      <w:pPr>
        <w:pStyle w:val="ThnVnban"/>
        <w:widowControl w:val="0"/>
        <w:rPr>
          <w:lang w:val="sv-SE"/>
        </w:rPr>
      </w:pPr>
      <w:r w:rsidRPr="00A3610C">
        <w:rPr>
          <w:lang w:val="sv-SE"/>
        </w:rPr>
        <w:t>Căn cứ các nguyên tắc và khung quy đổi hướng dẫn trên đây, các CSĐT xây dựng các bảng quy đổi và công thức quy đổi cho từng chương trình, ngành</w:t>
      </w:r>
      <w:r>
        <w:rPr>
          <w:lang w:val="sv-SE"/>
        </w:rPr>
        <w:t>,</w:t>
      </w:r>
      <w:r w:rsidRPr="00A3610C">
        <w:rPr>
          <w:lang w:val="sv-SE"/>
        </w:rPr>
        <w:t xml:space="preserve"> nhóm ngành </w:t>
      </w:r>
      <w:r>
        <w:rPr>
          <w:lang w:val="sv-SE"/>
        </w:rPr>
        <w:t xml:space="preserve">hoặc lĩnh vực </w:t>
      </w:r>
      <w:r w:rsidRPr="00A3610C">
        <w:rPr>
          <w:lang w:val="sv-SE"/>
        </w:rPr>
        <w:t>đào tạo, cụ thể như sau:</w:t>
      </w:r>
    </w:p>
    <w:p w14:paraId="64B37967" w14:textId="77777777" w:rsidR="00656B50" w:rsidRPr="00A3610C" w:rsidRDefault="00656B50" w:rsidP="00656B50">
      <w:pPr>
        <w:pStyle w:val="ThnVnban"/>
        <w:widowControl w:val="0"/>
        <w:rPr>
          <w:lang w:val="sv-SE"/>
        </w:rPr>
      </w:pPr>
      <w:r w:rsidRPr="00A3610C">
        <w:rPr>
          <w:lang w:val="sv-SE"/>
        </w:rPr>
        <w:t>1. Lựa chọn các bài thi, tổ hợp môn thi phù hợp với các phương thức xét tuyển của chương trình, ngành, nhóm ngành</w:t>
      </w:r>
      <w:r>
        <w:rPr>
          <w:lang w:val="sv-SE"/>
        </w:rPr>
        <w:t>,</w:t>
      </w:r>
      <w:r w:rsidRPr="00A3610C">
        <w:rPr>
          <w:lang w:val="sv-SE"/>
        </w:rPr>
        <w:t xml:space="preserve"> </w:t>
      </w:r>
      <w:r>
        <w:rPr>
          <w:lang w:val="sv-SE"/>
        </w:rPr>
        <w:t xml:space="preserve">lĩnh vực </w:t>
      </w:r>
      <w:r w:rsidRPr="00A3610C">
        <w:rPr>
          <w:lang w:val="sv-SE"/>
        </w:rPr>
        <w:t xml:space="preserve">đào tạo. </w:t>
      </w:r>
      <w:r w:rsidRPr="004B3A51">
        <w:rPr>
          <w:lang w:val="sv-SE"/>
        </w:rPr>
        <w:t>Đối với mỗi bài thi riêng được sử dụng, cần lập một bảng riêng. Mỗi bảng quy đổi chỉ nên dùng 01 tổ hợp môn phù hợp nhất (quy đổi các tổ hợp khác dựa trên chênh lệch điểm).</w:t>
      </w:r>
    </w:p>
    <w:p w14:paraId="54455DF3" w14:textId="77777777" w:rsidR="00656B50" w:rsidRPr="004B3A51" w:rsidRDefault="00656B50" w:rsidP="00656B50">
      <w:pPr>
        <w:pStyle w:val="ThnVnban"/>
        <w:widowControl w:val="0"/>
        <w:rPr>
          <w:lang w:val="sv-SE"/>
        </w:rPr>
      </w:pPr>
      <w:r w:rsidRPr="00A3610C">
        <w:rPr>
          <w:lang w:val="sv-SE"/>
        </w:rPr>
        <w:t xml:space="preserve">2. </w:t>
      </w:r>
      <w:r w:rsidRPr="004B3A51">
        <w:rPr>
          <w:lang w:val="sv-SE"/>
        </w:rPr>
        <w:t>Có thể chia các khoảng điểm chi tiết hơn, hoặc điều chỉnh các khoảng điểm trong khung quy đổi ở Bảng 1 cho phù hợp với yêu cầu của từng chương trình, ngành, nhóm ngành đào tạo.</w:t>
      </w:r>
    </w:p>
    <w:p w14:paraId="043224F3" w14:textId="77777777" w:rsidR="00656B50" w:rsidRPr="00A3610C" w:rsidRDefault="00656B50" w:rsidP="00656B50">
      <w:pPr>
        <w:pStyle w:val="ThnVnban"/>
        <w:widowControl w:val="0"/>
        <w:rPr>
          <w:lang w:val="sv-SE"/>
        </w:rPr>
      </w:pPr>
      <w:r w:rsidRPr="00A3610C">
        <w:rPr>
          <w:lang w:val="sv-SE"/>
        </w:rPr>
        <w:t xml:space="preserve">3. Xây dựng các bảng quy đổi và công thức cho điểm trúng tuyển theo các bài thi không do các CSĐT trong nước tổ chức (ví dụ SAT, ACT..) theo phương pháp phù hợp, khuyến cáo sử dụng phương pháp bách phân vị. </w:t>
      </w:r>
    </w:p>
    <w:p w14:paraId="12C02073" w14:textId="77777777" w:rsidR="00656B50" w:rsidRPr="00A3610C" w:rsidRDefault="00656B50" w:rsidP="00656B50">
      <w:pPr>
        <w:pStyle w:val="ThnVnban"/>
        <w:widowControl w:val="0"/>
        <w:rPr>
          <w:lang w:val="sv-SE"/>
        </w:rPr>
      </w:pPr>
      <w:r w:rsidRPr="00A3610C">
        <w:rPr>
          <w:lang w:val="sv-SE"/>
        </w:rPr>
        <w:t>Các căn cứ cụ thể để các CSĐT thực hiện:</w:t>
      </w:r>
    </w:p>
    <w:p w14:paraId="6FA988A8" w14:textId="77777777" w:rsidR="00656B50" w:rsidRPr="00A3610C" w:rsidRDefault="00656B50" w:rsidP="00656B50">
      <w:pPr>
        <w:pStyle w:val="ThnVnban"/>
        <w:widowControl w:val="0"/>
        <w:rPr>
          <w:lang w:val="sv-SE"/>
        </w:rPr>
      </w:pPr>
      <w:r w:rsidRPr="00A3610C">
        <w:rPr>
          <w:lang w:val="sv-SE"/>
        </w:rPr>
        <w:t xml:space="preserve">- Phân tích các dữ liệu thống kê (dữ liệu tuyển sinh các năm trước, kết quả học tập của sinh viên trúng tuyển từ các phương thức xét tuyển, tổ hợp xét tuyển khác nhau, phổ điểm các kỳ thi...); </w:t>
      </w:r>
    </w:p>
    <w:p w14:paraId="72B0BF66" w14:textId="0149E0BC" w:rsidR="00CB7193" w:rsidRDefault="00656B50" w:rsidP="003B4AD4">
      <w:pPr>
        <w:pStyle w:val="ThnVnban"/>
        <w:widowControl w:val="0"/>
      </w:pPr>
      <w:r w:rsidRPr="00A3610C">
        <w:rPr>
          <w:lang w:val="sv-SE"/>
        </w:rPr>
        <w:t>- Xem xét bản chất, độ khó, thang điểm, phổ điểm và đặc điểm nhóm thí sinh của từng phương thức xét tuyển, kết quả điểm kỳ thi, tổ hợp xét tuyển khi xây dựng bảng quy đổi, công thức quy đổi.</w:t>
      </w:r>
    </w:p>
    <w:sectPr w:rsidR="00CB7193" w:rsidSect="003B4AD4">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2116E" w14:textId="77777777" w:rsidR="00C315CE" w:rsidRDefault="00C315CE" w:rsidP="00656B50">
      <w:pPr>
        <w:spacing w:line="240" w:lineRule="auto"/>
      </w:pPr>
      <w:r>
        <w:separator/>
      </w:r>
    </w:p>
  </w:endnote>
  <w:endnote w:type="continuationSeparator" w:id="0">
    <w:p w14:paraId="7F8A181F" w14:textId="77777777" w:rsidR="00C315CE" w:rsidRDefault="00C315CE" w:rsidP="00656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F9C7F" w14:textId="77777777" w:rsidR="00C315CE" w:rsidRDefault="00C315CE" w:rsidP="00656B50">
      <w:pPr>
        <w:spacing w:line="240" w:lineRule="auto"/>
      </w:pPr>
      <w:r>
        <w:separator/>
      </w:r>
    </w:p>
  </w:footnote>
  <w:footnote w:type="continuationSeparator" w:id="0">
    <w:p w14:paraId="72214024" w14:textId="77777777" w:rsidR="00C315CE" w:rsidRDefault="00C315CE" w:rsidP="00656B50">
      <w:pPr>
        <w:spacing w:line="240" w:lineRule="auto"/>
      </w:pPr>
      <w:r>
        <w:continuationSeparator/>
      </w:r>
    </w:p>
  </w:footnote>
  <w:footnote w:id="1">
    <w:p w14:paraId="38483539" w14:textId="77777777" w:rsidR="00656B50" w:rsidRPr="00C56EAB" w:rsidRDefault="00656B50" w:rsidP="00656B50">
      <w:pPr>
        <w:pStyle w:val="VnbanCcchu"/>
        <w:spacing w:line="240" w:lineRule="auto"/>
        <w:jc w:val="both"/>
        <w:rPr>
          <w:szCs w:val="22"/>
          <w:lang w:val="vi-VN"/>
        </w:rPr>
      </w:pPr>
      <w:r w:rsidRPr="00C56EAB">
        <w:rPr>
          <w:rStyle w:val="ThamchiuCcchu"/>
          <w:szCs w:val="22"/>
        </w:rPr>
        <w:footnoteRef/>
      </w:r>
      <w:r w:rsidRPr="00ED347B">
        <w:rPr>
          <w:szCs w:val="22"/>
          <w:lang w:val="sv-SE"/>
        </w:rPr>
        <w:t xml:space="preserve"> Theo phân tích của Tổ chuyên gia tư vấn kỹ thuật thành lập theo Quyết định số 1104/QĐ-BGDĐT, phương pháp bách phân vị được khuyến nghị sử dụng trong trường hợp quy đổi điểm giữa các bài thi đảm bảo thứ hạng thí sinh, tính công bằng, minh bạch và ổn định theo các đợt thi, các năm tuyển sinh. “</w:t>
      </w:r>
      <w:r w:rsidRPr="00C56EAB">
        <w:rPr>
          <w:i/>
          <w:iCs/>
          <w:szCs w:val="22"/>
          <w:lang w:val="vi-VN"/>
        </w:rPr>
        <w:t>Phương pháp bách phân vị (Percentile Equating)</w:t>
      </w:r>
      <w:r w:rsidRPr="00ED347B">
        <w:rPr>
          <w:i/>
          <w:iCs/>
          <w:szCs w:val="22"/>
          <w:lang w:val="sv-SE"/>
        </w:rPr>
        <w:t xml:space="preserve">: </w:t>
      </w:r>
      <w:r w:rsidRPr="00C56EAB">
        <w:rPr>
          <w:i/>
          <w:szCs w:val="22"/>
          <w:lang w:val="vi-VN"/>
        </w:rPr>
        <w:t>Phương pháp này dựa trên phân bố điểm của 2 kỳ thi, xác định điểm ở cùng phân vị (percentile) để chuyển đổi. Theo cách này, bách phân vị quy đổi điểm thành các mức phân vị, giúp chỉ ra vị trí của thí sinh trong tổng thể điểm của nhóm. Phân vị được sử dụng để so sánh thí sinh trong mối quan hệ với những thí sinh khác tham gia kỳ thi. Phương pháp quy đổi này chuyển đổi điểm thành phân vị, tức là xếp điểm số của một thí sinh vào một phân vị cụ thể theo phân phối điểm thi”.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B7"/>
    <w:rsid w:val="003B4AD4"/>
    <w:rsid w:val="00656B50"/>
    <w:rsid w:val="00AB2DB7"/>
    <w:rsid w:val="00C315CE"/>
    <w:rsid w:val="00CB7193"/>
    <w:rsid w:val="00D7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D4B5C-EBE5-4413-BEE8-B28AB5C4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56B50"/>
    <w:pPr>
      <w:spacing w:after="0"/>
    </w:pPr>
    <w:rPr>
      <w:rFonts w:ascii="Times New Roman" w:eastAsia="Calibri" w:hAnsi="Times New Roman" w:cs="Times New Roman"/>
      <w:kern w:val="0"/>
      <w:sz w:val="26"/>
      <w14:ligatures w14:val="none"/>
    </w:rPr>
  </w:style>
  <w:style w:type="paragraph" w:styleId="u1">
    <w:name w:val="heading 1"/>
    <w:basedOn w:val="Binhthng"/>
    <w:next w:val="Binhthng"/>
    <w:link w:val="u1Char"/>
    <w:uiPriority w:val="9"/>
    <w:qFormat/>
    <w:rsid w:val="00AB2DB7"/>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AU"/>
      <w14:ligatures w14:val="standardContextual"/>
    </w:rPr>
  </w:style>
  <w:style w:type="paragraph" w:styleId="u2">
    <w:name w:val="heading 2"/>
    <w:basedOn w:val="Binhthng"/>
    <w:next w:val="Binhthng"/>
    <w:link w:val="u2Char"/>
    <w:uiPriority w:val="9"/>
    <w:semiHidden/>
    <w:unhideWhenUsed/>
    <w:qFormat/>
    <w:rsid w:val="00AB2DB7"/>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AU"/>
      <w14:ligatures w14:val="standardContextual"/>
    </w:rPr>
  </w:style>
  <w:style w:type="paragraph" w:styleId="u3">
    <w:name w:val="heading 3"/>
    <w:basedOn w:val="Binhthng"/>
    <w:next w:val="Binhthng"/>
    <w:link w:val="u3Char"/>
    <w:uiPriority w:val="9"/>
    <w:semiHidden/>
    <w:unhideWhenUsed/>
    <w:qFormat/>
    <w:rsid w:val="00AB2DB7"/>
    <w:pPr>
      <w:keepNext/>
      <w:keepLines/>
      <w:spacing w:before="160" w:after="80"/>
      <w:outlineLvl w:val="2"/>
    </w:pPr>
    <w:rPr>
      <w:rFonts w:asciiTheme="minorHAnsi" w:eastAsiaTheme="majorEastAsia" w:hAnsiTheme="minorHAnsi" w:cstheme="majorBidi"/>
      <w:color w:val="2F5496" w:themeColor="accent1" w:themeShade="BF"/>
      <w:kern w:val="2"/>
      <w:sz w:val="28"/>
      <w:szCs w:val="28"/>
      <w:lang w:val="en-AU"/>
      <w14:ligatures w14:val="standardContextual"/>
    </w:rPr>
  </w:style>
  <w:style w:type="paragraph" w:styleId="u4">
    <w:name w:val="heading 4"/>
    <w:basedOn w:val="Binhthng"/>
    <w:next w:val="Binhthng"/>
    <w:link w:val="u4Char"/>
    <w:uiPriority w:val="9"/>
    <w:semiHidden/>
    <w:unhideWhenUsed/>
    <w:qFormat/>
    <w:rsid w:val="00AB2DB7"/>
    <w:pPr>
      <w:keepNext/>
      <w:keepLines/>
      <w:spacing w:before="80" w:after="40"/>
      <w:outlineLvl w:val="3"/>
    </w:pPr>
    <w:rPr>
      <w:rFonts w:asciiTheme="minorHAnsi" w:eastAsiaTheme="majorEastAsia" w:hAnsiTheme="minorHAnsi" w:cstheme="majorBidi"/>
      <w:i/>
      <w:iCs/>
      <w:color w:val="2F5496" w:themeColor="accent1" w:themeShade="BF"/>
      <w:kern w:val="2"/>
      <w:sz w:val="22"/>
      <w:lang w:val="en-AU"/>
      <w14:ligatures w14:val="standardContextual"/>
    </w:rPr>
  </w:style>
  <w:style w:type="paragraph" w:styleId="u5">
    <w:name w:val="heading 5"/>
    <w:basedOn w:val="Binhthng"/>
    <w:next w:val="Binhthng"/>
    <w:link w:val="u5Char"/>
    <w:uiPriority w:val="9"/>
    <w:semiHidden/>
    <w:unhideWhenUsed/>
    <w:qFormat/>
    <w:rsid w:val="00AB2DB7"/>
    <w:pPr>
      <w:keepNext/>
      <w:keepLines/>
      <w:spacing w:before="80" w:after="40"/>
      <w:outlineLvl w:val="4"/>
    </w:pPr>
    <w:rPr>
      <w:rFonts w:asciiTheme="minorHAnsi" w:eastAsiaTheme="majorEastAsia" w:hAnsiTheme="minorHAnsi" w:cstheme="majorBidi"/>
      <w:color w:val="2F5496" w:themeColor="accent1" w:themeShade="BF"/>
      <w:kern w:val="2"/>
      <w:sz w:val="22"/>
      <w:lang w:val="en-AU"/>
      <w14:ligatures w14:val="standardContextual"/>
    </w:rPr>
  </w:style>
  <w:style w:type="paragraph" w:styleId="u6">
    <w:name w:val="heading 6"/>
    <w:basedOn w:val="Binhthng"/>
    <w:next w:val="Binhthng"/>
    <w:link w:val="u6Char"/>
    <w:uiPriority w:val="9"/>
    <w:semiHidden/>
    <w:unhideWhenUsed/>
    <w:qFormat/>
    <w:rsid w:val="00AB2DB7"/>
    <w:pPr>
      <w:keepNext/>
      <w:keepLines/>
      <w:spacing w:before="40"/>
      <w:outlineLvl w:val="5"/>
    </w:pPr>
    <w:rPr>
      <w:rFonts w:asciiTheme="minorHAnsi" w:eastAsiaTheme="majorEastAsia" w:hAnsiTheme="minorHAnsi" w:cstheme="majorBidi"/>
      <w:i/>
      <w:iCs/>
      <w:color w:val="595959" w:themeColor="text1" w:themeTint="A6"/>
      <w:kern w:val="2"/>
      <w:sz w:val="22"/>
      <w:lang w:val="en-AU"/>
      <w14:ligatures w14:val="standardContextual"/>
    </w:rPr>
  </w:style>
  <w:style w:type="paragraph" w:styleId="u7">
    <w:name w:val="heading 7"/>
    <w:basedOn w:val="Binhthng"/>
    <w:next w:val="Binhthng"/>
    <w:link w:val="u7Char"/>
    <w:uiPriority w:val="9"/>
    <w:semiHidden/>
    <w:unhideWhenUsed/>
    <w:qFormat/>
    <w:rsid w:val="00AB2DB7"/>
    <w:pPr>
      <w:keepNext/>
      <w:keepLines/>
      <w:spacing w:before="40"/>
      <w:outlineLvl w:val="6"/>
    </w:pPr>
    <w:rPr>
      <w:rFonts w:asciiTheme="minorHAnsi" w:eastAsiaTheme="majorEastAsia" w:hAnsiTheme="minorHAnsi" w:cstheme="majorBidi"/>
      <w:color w:val="595959" w:themeColor="text1" w:themeTint="A6"/>
      <w:kern w:val="2"/>
      <w:sz w:val="22"/>
      <w:lang w:val="en-AU"/>
      <w14:ligatures w14:val="standardContextual"/>
    </w:rPr>
  </w:style>
  <w:style w:type="paragraph" w:styleId="u8">
    <w:name w:val="heading 8"/>
    <w:basedOn w:val="Binhthng"/>
    <w:next w:val="Binhthng"/>
    <w:link w:val="u8Char"/>
    <w:uiPriority w:val="9"/>
    <w:semiHidden/>
    <w:unhideWhenUsed/>
    <w:qFormat/>
    <w:rsid w:val="00AB2DB7"/>
    <w:pPr>
      <w:keepNext/>
      <w:keepLines/>
      <w:outlineLvl w:val="7"/>
    </w:pPr>
    <w:rPr>
      <w:rFonts w:asciiTheme="minorHAnsi" w:eastAsiaTheme="majorEastAsia" w:hAnsiTheme="minorHAnsi" w:cstheme="majorBidi"/>
      <w:i/>
      <w:iCs/>
      <w:color w:val="272727" w:themeColor="text1" w:themeTint="D8"/>
      <w:kern w:val="2"/>
      <w:sz w:val="22"/>
      <w:lang w:val="en-AU"/>
      <w14:ligatures w14:val="standardContextual"/>
    </w:rPr>
  </w:style>
  <w:style w:type="paragraph" w:styleId="u9">
    <w:name w:val="heading 9"/>
    <w:basedOn w:val="Binhthng"/>
    <w:next w:val="Binhthng"/>
    <w:link w:val="u9Char"/>
    <w:uiPriority w:val="9"/>
    <w:semiHidden/>
    <w:unhideWhenUsed/>
    <w:qFormat/>
    <w:rsid w:val="00AB2DB7"/>
    <w:pPr>
      <w:keepNext/>
      <w:keepLines/>
      <w:outlineLvl w:val="8"/>
    </w:pPr>
    <w:rPr>
      <w:rFonts w:asciiTheme="minorHAnsi" w:eastAsiaTheme="majorEastAsia" w:hAnsiTheme="minorHAnsi" w:cstheme="majorBidi"/>
      <w:color w:val="272727" w:themeColor="text1" w:themeTint="D8"/>
      <w:kern w:val="2"/>
      <w:sz w:val="22"/>
      <w:lang w:val="en-AU"/>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B2DB7"/>
    <w:rPr>
      <w:rFonts w:asciiTheme="majorHAnsi" w:eastAsiaTheme="majorEastAsia" w:hAnsiTheme="majorHAnsi" w:cstheme="majorBidi"/>
      <w:color w:val="2F5496" w:themeColor="accent1" w:themeShade="BF"/>
      <w:sz w:val="40"/>
      <w:szCs w:val="40"/>
      <w:lang w:val="en-AU"/>
    </w:rPr>
  </w:style>
  <w:style w:type="character" w:customStyle="1" w:styleId="u2Char">
    <w:name w:val="Đầu đề 2 Char"/>
    <w:basedOn w:val="Phngmcinhcuaoanvn"/>
    <w:link w:val="u2"/>
    <w:uiPriority w:val="9"/>
    <w:semiHidden/>
    <w:rsid w:val="00AB2DB7"/>
    <w:rPr>
      <w:rFonts w:asciiTheme="majorHAnsi" w:eastAsiaTheme="majorEastAsia" w:hAnsiTheme="majorHAnsi" w:cstheme="majorBidi"/>
      <w:color w:val="2F5496" w:themeColor="accent1" w:themeShade="BF"/>
      <w:sz w:val="32"/>
      <w:szCs w:val="32"/>
      <w:lang w:val="en-AU"/>
    </w:rPr>
  </w:style>
  <w:style w:type="character" w:customStyle="1" w:styleId="u3Char">
    <w:name w:val="Đầu đề 3 Char"/>
    <w:basedOn w:val="Phngmcinhcuaoanvn"/>
    <w:link w:val="u3"/>
    <w:uiPriority w:val="9"/>
    <w:semiHidden/>
    <w:rsid w:val="00AB2DB7"/>
    <w:rPr>
      <w:rFonts w:eastAsiaTheme="majorEastAsia" w:cstheme="majorBidi"/>
      <w:color w:val="2F5496" w:themeColor="accent1" w:themeShade="BF"/>
      <w:sz w:val="28"/>
      <w:szCs w:val="28"/>
      <w:lang w:val="en-AU"/>
    </w:rPr>
  </w:style>
  <w:style w:type="character" w:customStyle="1" w:styleId="u4Char">
    <w:name w:val="Đầu đề 4 Char"/>
    <w:basedOn w:val="Phngmcinhcuaoanvn"/>
    <w:link w:val="u4"/>
    <w:uiPriority w:val="9"/>
    <w:semiHidden/>
    <w:rsid w:val="00AB2DB7"/>
    <w:rPr>
      <w:rFonts w:eastAsiaTheme="majorEastAsia" w:cstheme="majorBidi"/>
      <w:i/>
      <w:iCs/>
      <w:color w:val="2F5496" w:themeColor="accent1" w:themeShade="BF"/>
      <w:lang w:val="en-AU"/>
    </w:rPr>
  </w:style>
  <w:style w:type="character" w:customStyle="1" w:styleId="u5Char">
    <w:name w:val="Đầu đề 5 Char"/>
    <w:basedOn w:val="Phngmcinhcuaoanvn"/>
    <w:link w:val="u5"/>
    <w:uiPriority w:val="9"/>
    <w:semiHidden/>
    <w:rsid w:val="00AB2DB7"/>
    <w:rPr>
      <w:rFonts w:eastAsiaTheme="majorEastAsia" w:cstheme="majorBidi"/>
      <w:color w:val="2F5496" w:themeColor="accent1" w:themeShade="BF"/>
      <w:lang w:val="en-AU"/>
    </w:rPr>
  </w:style>
  <w:style w:type="character" w:customStyle="1" w:styleId="u6Char">
    <w:name w:val="Đầu đề 6 Char"/>
    <w:basedOn w:val="Phngmcinhcuaoanvn"/>
    <w:link w:val="u6"/>
    <w:uiPriority w:val="9"/>
    <w:semiHidden/>
    <w:rsid w:val="00AB2DB7"/>
    <w:rPr>
      <w:rFonts w:eastAsiaTheme="majorEastAsia" w:cstheme="majorBidi"/>
      <w:i/>
      <w:iCs/>
      <w:color w:val="595959" w:themeColor="text1" w:themeTint="A6"/>
      <w:lang w:val="en-AU"/>
    </w:rPr>
  </w:style>
  <w:style w:type="character" w:customStyle="1" w:styleId="u7Char">
    <w:name w:val="Đầu đề 7 Char"/>
    <w:basedOn w:val="Phngmcinhcuaoanvn"/>
    <w:link w:val="u7"/>
    <w:uiPriority w:val="9"/>
    <w:semiHidden/>
    <w:rsid w:val="00AB2DB7"/>
    <w:rPr>
      <w:rFonts w:eastAsiaTheme="majorEastAsia" w:cstheme="majorBidi"/>
      <w:color w:val="595959" w:themeColor="text1" w:themeTint="A6"/>
      <w:lang w:val="en-AU"/>
    </w:rPr>
  </w:style>
  <w:style w:type="character" w:customStyle="1" w:styleId="u8Char">
    <w:name w:val="Đầu đề 8 Char"/>
    <w:basedOn w:val="Phngmcinhcuaoanvn"/>
    <w:link w:val="u8"/>
    <w:uiPriority w:val="9"/>
    <w:semiHidden/>
    <w:rsid w:val="00AB2DB7"/>
    <w:rPr>
      <w:rFonts w:eastAsiaTheme="majorEastAsia" w:cstheme="majorBidi"/>
      <w:i/>
      <w:iCs/>
      <w:color w:val="272727" w:themeColor="text1" w:themeTint="D8"/>
      <w:lang w:val="en-AU"/>
    </w:rPr>
  </w:style>
  <w:style w:type="character" w:customStyle="1" w:styleId="u9Char">
    <w:name w:val="Đầu đề 9 Char"/>
    <w:basedOn w:val="Phngmcinhcuaoanvn"/>
    <w:link w:val="u9"/>
    <w:uiPriority w:val="9"/>
    <w:semiHidden/>
    <w:rsid w:val="00AB2DB7"/>
    <w:rPr>
      <w:rFonts w:eastAsiaTheme="majorEastAsia" w:cstheme="majorBidi"/>
      <w:color w:val="272727" w:themeColor="text1" w:themeTint="D8"/>
      <w:lang w:val="en-AU"/>
    </w:rPr>
  </w:style>
  <w:style w:type="paragraph" w:styleId="Tiu">
    <w:name w:val="Title"/>
    <w:basedOn w:val="Binhthng"/>
    <w:next w:val="Binhthng"/>
    <w:link w:val="TiuChar"/>
    <w:uiPriority w:val="10"/>
    <w:qFormat/>
    <w:rsid w:val="00AB2DB7"/>
    <w:pPr>
      <w:spacing w:after="80" w:line="240" w:lineRule="auto"/>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uChar">
    <w:name w:val="Tiêu đề Char"/>
    <w:basedOn w:val="Phngmcinhcuaoanvn"/>
    <w:link w:val="Tiu"/>
    <w:uiPriority w:val="10"/>
    <w:rsid w:val="00AB2DB7"/>
    <w:rPr>
      <w:rFonts w:asciiTheme="majorHAnsi" w:eastAsiaTheme="majorEastAsia" w:hAnsiTheme="majorHAnsi" w:cstheme="majorBidi"/>
      <w:spacing w:val="-10"/>
      <w:kern w:val="28"/>
      <w:sz w:val="56"/>
      <w:szCs w:val="56"/>
      <w:lang w:val="en-AU"/>
    </w:rPr>
  </w:style>
  <w:style w:type="paragraph" w:styleId="Tiuphu">
    <w:name w:val="Subtitle"/>
    <w:basedOn w:val="Binhthng"/>
    <w:next w:val="Binhthng"/>
    <w:link w:val="TiuphuChar"/>
    <w:uiPriority w:val="11"/>
    <w:qFormat/>
    <w:rsid w:val="00AB2DB7"/>
    <w:pPr>
      <w:numPr>
        <w:ilvl w:val="1"/>
      </w:numPr>
      <w:spacing w:after="160"/>
    </w:pPr>
    <w:rPr>
      <w:rFonts w:asciiTheme="minorHAnsi" w:eastAsiaTheme="majorEastAsia" w:hAnsiTheme="minorHAnsi" w:cstheme="majorBidi"/>
      <w:color w:val="595959" w:themeColor="text1" w:themeTint="A6"/>
      <w:spacing w:val="15"/>
      <w:kern w:val="2"/>
      <w:sz w:val="28"/>
      <w:szCs w:val="28"/>
      <w:lang w:val="en-AU"/>
      <w14:ligatures w14:val="standardContextual"/>
    </w:rPr>
  </w:style>
  <w:style w:type="character" w:customStyle="1" w:styleId="TiuphuChar">
    <w:name w:val="Tiêu đề phụ Char"/>
    <w:basedOn w:val="Phngmcinhcuaoanvn"/>
    <w:link w:val="Tiuphu"/>
    <w:uiPriority w:val="11"/>
    <w:rsid w:val="00AB2DB7"/>
    <w:rPr>
      <w:rFonts w:eastAsiaTheme="majorEastAsia" w:cstheme="majorBidi"/>
      <w:color w:val="595959" w:themeColor="text1" w:themeTint="A6"/>
      <w:spacing w:val="15"/>
      <w:sz w:val="28"/>
      <w:szCs w:val="28"/>
      <w:lang w:val="en-AU"/>
    </w:rPr>
  </w:style>
  <w:style w:type="paragraph" w:styleId="Litrichdn">
    <w:name w:val="Quote"/>
    <w:basedOn w:val="Binhthng"/>
    <w:next w:val="Binhthng"/>
    <w:link w:val="LitrichdnChar"/>
    <w:uiPriority w:val="29"/>
    <w:qFormat/>
    <w:rsid w:val="00AB2DB7"/>
    <w:pPr>
      <w:spacing w:before="160" w:after="160"/>
      <w:jc w:val="center"/>
    </w:pPr>
    <w:rPr>
      <w:rFonts w:asciiTheme="minorHAnsi" w:eastAsiaTheme="minorHAnsi" w:hAnsiTheme="minorHAnsi" w:cstheme="minorBidi"/>
      <w:i/>
      <w:iCs/>
      <w:color w:val="404040" w:themeColor="text1" w:themeTint="BF"/>
      <w:kern w:val="2"/>
      <w:sz w:val="22"/>
      <w:lang w:val="en-AU"/>
      <w14:ligatures w14:val="standardContextual"/>
    </w:rPr>
  </w:style>
  <w:style w:type="character" w:customStyle="1" w:styleId="LitrichdnChar">
    <w:name w:val="Lời trích dẫn Char"/>
    <w:basedOn w:val="Phngmcinhcuaoanvn"/>
    <w:link w:val="Litrichdn"/>
    <w:uiPriority w:val="29"/>
    <w:rsid w:val="00AB2DB7"/>
    <w:rPr>
      <w:i/>
      <w:iCs/>
      <w:color w:val="404040" w:themeColor="text1" w:themeTint="BF"/>
      <w:lang w:val="en-AU"/>
    </w:rPr>
  </w:style>
  <w:style w:type="paragraph" w:styleId="oancuaDanhsach">
    <w:name w:val="List Paragraph"/>
    <w:basedOn w:val="Binhthng"/>
    <w:uiPriority w:val="34"/>
    <w:qFormat/>
    <w:rsid w:val="00AB2DB7"/>
    <w:pPr>
      <w:spacing w:after="160"/>
      <w:ind w:left="720"/>
      <w:contextualSpacing/>
    </w:pPr>
    <w:rPr>
      <w:rFonts w:asciiTheme="minorHAnsi" w:eastAsiaTheme="minorHAnsi" w:hAnsiTheme="minorHAnsi" w:cstheme="minorBidi"/>
      <w:kern w:val="2"/>
      <w:sz w:val="22"/>
      <w:lang w:val="en-AU"/>
      <w14:ligatures w14:val="standardContextual"/>
    </w:rPr>
  </w:style>
  <w:style w:type="character" w:styleId="NhnmnhThm">
    <w:name w:val="Intense Emphasis"/>
    <w:basedOn w:val="Phngmcinhcuaoanvn"/>
    <w:uiPriority w:val="21"/>
    <w:qFormat/>
    <w:rsid w:val="00AB2DB7"/>
    <w:rPr>
      <w:i/>
      <w:iCs/>
      <w:color w:val="2F5496" w:themeColor="accent1" w:themeShade="BF"/>
    </w:rPr>
  </w:style>
  <w:style w:type="paragraph" w:styleId="Nhaykepm">
    <w:name w:val="Intense Quote"/>
    <w:basedOn w:val="Binhthng"/>
    <w:next w:val="Binhthng"/>
    <w:link w:val="NhaykepmChar"/>
    <w:uiPriority w:val="30"/>
    <w:qFormat/>
    <w:rsid w:val="00AB2DB7"/>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2"/>
      <w:lang w:val="en-AU"/>
      <w14:ligatures w14:val="standardContextual"/>
    </w:rPr>
  </w:style>
  <w:style w:type="character" w:customStyle="1" w:styleId="NhaykepmChar">
    <w:name w:val="Nháy kép Đậm Char"/>
    <w:basedOn w:val="Phngmcinhcuaoanvn"/>
    <w:link w:val="Nhaykepm"/>
    <w:uiPriority w:val="30"/>
    <w:rsid w:val="00AB2DB7"/>
    <w:rPr>
      <w:i/>
      <w:iCs/>
      <w:color w:val="2F5496" w:themeColor="accent1" w:themeShade="BF"/>
      <w:lang w:val="en-AU"/>
    </w:rPr>
  </w:style>
  <w:style w:type="character" w:styleId="ThamchiuNhnmnh">
    <w:name w:val="Intense Reference"/>
    <w:basedOn w:val="Phngmcinhcuaoanvn"/>
    <w:uiPriority w:val="32"/>
    <w:qFormat/>
    <w:rsid w:val="00AB2DB7"/>
    <w:rPr>
      <w:b/>
      <w:bCs/>
      <w:smallCaps/>
      <w:color w:val="2F5496" w:themeColor="accent1" w:themeShade="BF"/>
      <w:spacing w:val="5"/>
    </w:rPr>
  </w:style>
  <w:style w:type="paragraph" w:styleId="ThnVnban">
    <w:name w:val="Body Text"/>
    <w:basedOn w:val="Binhthng"/>
    <w:link w:val="ThnVnbanChar"/>
    <w:uiPriority w:val="99"/>
    <w:unhideWhenUsed/>
    <w:qFormat/>
    <w:rsid w:val="00656B50"/>
    <w:pPr>
      <w:spacing w:before="60" w:after="60"/>
      <w:ind w:firstLine="567"/>
      <w:jc w:val="both"/>
    </w:pPr>
  </w:style>
  <w:style w:type="character" w:customStyle="1" w:styleId="ThnVnbanChar">
    <w:name w:val="Thân Văn bản Char"/>
    <w:basedOn w:val="Phngmcinhcuaoanvn"/>
    <w:link w:val="ThnVnban"/>
    <w:uiPriority w:val="99"/>
    <w:rsid w:val="00656B50"/>
    <w:rPr>
      <w:rFonts w:ascii="Times New Roman" w:eastAsia="Calibri" w:hAnsi="Times New Roman" w:cs="Times New Roman"/>
      <w:kern w:val="0"/>
      <w:sz w:val="26"/>
      <w14:ligatures w14:val="none"/>
    </w:rPr>
  </w:style>
  <w:style w:type="paragraph" w:styleId="VnbanCcchu">
    <w:name w:val="footnote text"/>
    <w:basedOn w:val="Binhthng"/>
    <w:link w:val="VnbanCcchuChar"/>
    <w:uiPriority w:val="99"/>
    <w:unhideWhenUsed/>
    <w:rsid w:val="00656B50"/>
    <w:rPr>
      <w:sz w:val="20"/>
      <w:szCs w:val="20"/>
    </w:rPr>
  </w:style>
  <w:style w:type="character" w:customStyle="1" w:styleId="VnbanCcchuChar">
    <w:name w:val="Văn bản Cước chú Char"/>
    <w:basedOn w:val="Phngmcinhcuaoanvn"/>
    <w:link w:val="VnbanCcchu"/>
    <w:uiPriority w:val="99"/>
    <w:rsid w:val="00656B50"/>
    <w:rPr>
      <w:rFonts w:ascii="Times New Roman" w:eastAsia="Calibri" w:hAnsi="Times New Roman" w:cs="Times New Roman"/>
      <w:kern w:val="0"/>
      <w:sz w:val="20"/>
      <w:szCs w:val="20"/>
      <w14:ligatures w14:val="none"/>
    </w:rPr>
  </w:style>
  <w:style w:type="character" w:styleId="ThamchiuCcchu">
    <w:name w:val="footnote reference"/>
    <w:uiPriority w:val="99"/>
    <w:semiHidden/>
    <w:unhideWhenUsed/>
    <w:rsid w:val="00656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2025-07-15T01:54:00Z</dcterms:created>
  <dcterms:modified xsi:type="dcterms:W3CDTF">2025-07-15T01:55:00Z</dcterms:modified>
</cp:coreProperties>
</file>